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The Boston Beer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409,624.00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411,413.00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411,413.00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409,624.00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411,413.00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411,413.00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409,624.00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411,413.00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411,413.00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The Boston Beer Company,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Design Center Place, Suite 850,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 After acquiring beneficial ownership of more than 5% of the outstanding Class A Common Stock on July 16, 2026, the reporting persons ceased to be beneficial owners of more than 5% of the outstanding Class A Common Stock by the date of this filing.</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21,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21107d1_ex-i.htm"/>
      <w:bookmarkStart w:id="25" w:name="kstm2621107d1_exi"/>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Class A Common Stock, par value $0.01 per share, of The Boston Beer Company,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21,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1425</Words>
  <Characters>7308</Characters>
  <CharactersWithSpaces>8730</CharactersWithSpaces>
  <Paragraphs>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