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am-20260627.htm"/>
        <w:bookmarkStart w:id="1" w:name="kssam20260627"/>
        <w:bookmarkEnd w:id="0"/>
        <w:bookmarkEnd w:id="1"/>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 (d) OF THE SECURITIES AND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For the quarterly period ended </w:t>
      </w:r>
      <w:r>
        <w:rPr>
          <w:rFonts w:ascii="Times New Roman" w:hAnsi="Times New Roman"/>
          <w:b/>
          <w:color w:val="030303"/>
          <w:sz w:val="20"/>
        </w:rPr>
        <w:t>June 27, 2026</w:t>
      </w:r>
    </w:p>
    <w:p>
      <w:pPr>
        <w:pStyle w:val="TextBody"/>
        <w:bidi w:val="0"/>
        <w:jc w:val="left"/>
        <w:rPr/>
      </w:pPr>
      <w:r>
        <w:rPr/>
        <w:t> </w:t>
      </w:r>
    </w:p>
    <w:p>
      <w:pPr>
        <w:pStyle w:val="TextBody"/>
        <w:bidi w:val="0"/>
        <w:jc w:val="center"/>
        <w:rPr>
          <w:rFonts w:ascii="Times New Roman" w:hAnsi="Times New Roman"/>
          <w:b/>
          <w:color w:val="030303"/>
          <w:sz w:val="20"/>
        </w:rPr>
      </w:pPr>
      <w:r>
        <w:rPr>
          <w:rFonts w:ascii="Times New Roman" w:hAnsi="Times New Roman"/>
          <w:b/>
          <w:color w:val="030303"/>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 (d) OF THE SECURITIES AND EXCHANGE ACT OF 1934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1-14092</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THE BOSTON BEER COMPANY,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2866"/>
        <w:gridCol w:w="146"/>
        <w:gridCol w:w="253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One Design Center Place, </w:t>
              <w:br/>
              <w:t>Suite 850, Boston,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368-5000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2986"/>
        <w:gridCol w:w="146"/>
        <w:gridCol w:w="826"/>
        <w:gridCol w:w="146"/>
        <w:gridCol w:w="3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Class A Common Stock</w:t>
            </w:r>
            <w:r>
              <w:rPr>
                <w:rFonts w:ascii="Times New Roman" w:hAnsi="Times New Roman"/>
                <w:color w:val="000000"/>
                <w:sz w:val="20"/>
              </w:rPr>
              <w:t> </w:t>
            </w:r>
            <w:r>
              <w:rPr>
                <w:rFonts w:ascii="Times New Roman" w:hAnsi="Times New Roman"/>
                <w:color w:val="000000"/>
                <w:sz w:val="18"/>
              </w:rPr>
              <w:t>$0.01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jc w:val="both"/>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Number of shares outstanding of each of the issuer’s classes of common stock, as of July 17, 2026:</w:t>
      </w:r>
    </w:p>
    <w:p>
      <w:pPr>
        <w:pStyle w:val="TextBody"/>
        <w:bidi w:val="0"/>
        <w:jc w:val="left"/>
        <w:rPr/>
      </w:pPr>
      <w:r>
        <w:rPr/>
        <w:t> </w:t>
      </w:r>
    </w:p>
    <w:tbl>
      <w:tblPr>
        <w:tblW w:w="4828" w:type="dxa"/>
        <w:jc w:val="left"/>
        <w:tblInd w:w="0" w:type="dxa"/>
        <w:tblLayout w:type="fixed"/>
        <w:tblCellMar>
          <w:top w:w="28" w:type="dxa"/>
          <w:left w:w="28" w:type="dxa"/>
          <w:bottom w:w="28" w:type="dxa"/>
          <w:right w:w="28" w:type="dxa"/>
        </w:tblCellMar>
      </w:tblPr>
      <w:tblGrid>
        <w:gridCol w:w="3136"/>
        <w:gridCol w:w="146"/>
        <w:gridCol w:w="15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30303"/>
                <w:sz w:val="20"/>
              </w:rPr>
            </w:pPr>
            <w:r>
              <w:rPr>
                <w:rFonts w:ascii="Times New Roman" w:hAnsi="Times New Roman"/>
                <w:color w:val="030303"/>
                <w:sz w:val="20"/>
              </w:rPr>
              <w:t>8,223,681</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30303"/>
                <w:sz w:val="20"/>
              </w:rPr>
            </w:pPr>
            <w:r>
              <w:rPr>
                <w:rFonts w:ascii="Times New Roman" w:hAnsi="Times New Roman"/>
                <w:color w:val="030303"/>
                <w:sz w:val="20"/>
              </w:rPr>
              <w:t>2,068,000</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 of shares)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June 27, 2026</w:t>
      </w:r>
    </w:p>
    <w:p>
      <w:pPr>
        <w:pStyle w:val="TextBody"/>
        <w:bidi w:val="0"/>
        <w:spacing w:before="120" w:after="283"/>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91"/>
        <w:gridCol w:w="146"/>
        <w:gridCol w:w="666"/>
        <w:gridCol w:w="7763"/>
        <w:gridCol w:w="146"/>
        <w:gridCol w:w="693"/>
      </w:tblGrid>
      <w:tr>
        <w:trPr/>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29"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INFORMATION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 as of June 27, 2026 and December 27,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Condensed Consolidated Statements of Comprehensive Operations for the thirteen and twenty-six weeks ended June 27, 2026 and June 28, 2025</w:t>
              </w:r>
            </w:hyperlink>
            <w:hyperlink w:anchor="consolidated_statements_comprehensive_i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 for the twenty-six weeks ended June 27, 2026 and June 28, 202</w:t>
              </w:r>
            </w:hyperlink>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 for the thirteen and twenty-six weeks ended June 27, 2026 and June 28,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2_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29"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INFORMATION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1A.</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5.</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6.</w:t>
            </w:r>
          </w:p>
        </w:tc>
        <w:tc>
          <w:tcPr>
            <w:tcW w:w="7763" w:type="dxa"/>
            <w:tcBorders/>
            <w:tcMar>
              <w:top w:w="0" w:type="dxa"/>
              <w:left w:w="0" w:type="dxa"/>
              <w:bottom w:w="0" w:type="dxa"/>
              <w:right w:w="0" w:type="dxa"/>
            </w:tcMar>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66" w:type="dxa"/>
            <w:tcBorders/>
            <w:tcMar>
              <w:top w:w="0" w:type="dxa"/>
              <w:left w:w="0" w:type="dxa"/>
              <w:bottom w:w="0" w:type="dxa"/>
              <w:right w:w="0" w:type="dxa"/>
            </w:tcMar>
            <w:vAlign w:val="center"/>
          </w:tcPr>
          <w:p>
            <w:pPr>
              <w:pStyle w:val="TableContents"/>
              <w:bidi w:val="0"/>
              <w:spacing w:before="0" w:after="283"/>
              <w:jc w:val="both"/>
              <w:rPr/>
            </w:pPr>
            <w:r>
              <w:rPr/>
              <w:t> </w:t>
            </w:r>
          </w:p>
        </w:tc>
        <w:tc>
          <w:tcPr>
            <w:tcW w:w="776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66" w:type="dxa"/>
            <w:gridSpan w:val="4"/>
            <w:tcBorders/>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EX-31.1 Section 302 CEO Certification</w:t>
      </w:r>
    </w:p>
    <w:p>
      <w:pPr>
        <w:pStyle w:val="TextBody"/>
        <w:bidi w:val="0"/>
        <w:jc w:val="left"/>
        <w:rPr>
          <w:rFonts w:ascii="Times New Roman" w:hAnsi="Times New Roman"/>
          <w:color w:val="000000"/>
          <w:sz w:val="20"/>
        </w:rPr>
      </w:pPr>
      <w:r>
        <w:rPr>
          <w:rFonts w:ascii="Times New Roman" w:hAnsi="Times New Roman"/>
          <w:color w:val="000000"/>
          <w:sz w:val="20"/>
        </w:rPr>
        <w:t>EX-31.2 Section 302 CFO Certification</w:t>
      </w:r>
    </w:p>
    <w:p>
      <w:pPr>
        <w:pStyle w:val="TextBody"/>
        <w:bidi w:val="0"/>
        <w:jc w:val="left"/>
        <w:rPr>
          <w:rFonts w:ascii="Times New Roman" w:hAnsi="Times New Roman"/>
          <w:color w:val="000000"/>
          <w:sz w:val="20"/>
        </w:rPr>
      </w:pPr>
      <w:r>
        <w:rPr>
          <w:rFonts w:ascii="Times New Roman" w:hAnsi="Times New Roman"/>
          <w:color w:val="000000"/>
          <w:sz w:val="20"/>
        </w:rPr>
        <w:t>EX-32.1 Section 906 CEO Certification</w:t>
      </w:r>
    </w:p>
    <w:p>
      <w:pPr>
        <w:pStyle w:val="TextBody"/>
        <w:bidi w:val="0"/>
        <w:jc w:val="left"/>
        <w:rPr>
          <w:rFonts w:ascii="Times New Roman" w:hAnsi="Times New Roman"/>
          <w:color w:val="000000"/>
          <w:sz w:val="20"/>
        </w:rPr>
      </w:pPr>
      <w:r>
        <w:rPr>
          <w:rFonts w:ascii="Times New Roman" w:hAnsi="Times New Roman"/>
          <w:color w:val="000000"/>
          <w:sz w:val="20"/>
        </w:rPr>
        <w:t>EX-32.2 Section 906 CFO Certification</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3" w:name="financial_information"/>
      <w:bookmarkEnd w:id="3"/>
      <w:r>
        <w:rPr>
          <w:rFonts w:ascii="Times New Roman" w:hAnsi="Times New Roman"/>
          <w:b/>
          <w:color w:val="000000"/>
          <w:sz w:val="20"/>
        </w:rPr>
        <w:t>PART I. FINANCIAL INFORMATION</w:t>
      </w:r>
    </w:p>
    <w:p>
      <w:pPr>
        <w:pStyle w:val="TextBody"/>
        <w:bidi w:val="0"/>
        <w:jc w:val="both"/>
        <w:rPr/>
      </w:pPr>
      <w:r>
        <w:rPr/>
        <w:t> </w:t>
      </w:r>
    </w:p>
    <w:p>
      <w:pPr>
        <w:pStyle w:val="TextBody"/>
        <w:bidi w:val="0"/>
        <w:jc w:val="both"/>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CONDENSED CONSOLIDATED FINANCIAL STATEMENTS (UNAUDITED)</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w:t>
              <w:br/>
              <w:t>2025</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litigation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8,224,038 and 8,408,458 issued and outstanding as of June 27, 2026 and December 27,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 issued and outstanding as of June 27, 2026 and December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CONDENSED CONSOLIDATED STATEMENTS OF COMPREHENSIVE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44"/>
        <w:gridCol w:w="146"/>
        <w:gridCol w:w="211"/>
        <w:gridCol w:w="781"/>
        <w:gridCol w:w="166"/>
        <w:gridCol w:w="146"/>
        <w:gridCol w:w="211"/>
        <w:gridCol w:w="781"/>
        <w:gridCol w:w="166"/>
        <w:gridCol w:w="146"/>
        <w:gridCol w:w="211"/>
        <w:gridCol w:w="931"/>
        <w:gridCol w:w="166"/>
        <w:gridCol w:w="146"/>
        <w:gridCol w:w="211"/>
        <w:gridCol w:w="931"/>
        <w:gridCol w:w="611"/>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1,041,816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(reduction)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THE BOSTON BEER COMPANY, INC. AND SUBSIDIARIES</w:t>
      </w:r>
    </w:p>
    <w:p>
      <w:pPr>
        <w:pStyle w:val="TextBody"/>
        <w:bidi w:val="0"/>
        <w:jc w:val="center"/>
        <w:rPr>
          <w:rFonts w:ascii="Times New Roman" w:hAnsi="Times New Roman"/>
          <w:b/>
          <w:color w:val="000000"/>
          <w:sz w:val="18"/>
        </w:rPr>
      </w:pPr>
      <w:bookmarkStart w:id="7" w:name="consolidated_statements_cash_flows"/>
      <w:bookmarkEnd w:id="7"/>
      <w:r>
        <w:rPr>
          <w:rFonts w:ascii="Times New Roman" w:hAnsi="Times New Roman"/>
          <w:b/>
          <w:color w:val="000000"/>
          <w:sz w:val="18"/>
        </w:rPr>
        <w:t>CONDENSED CONSOLIDATED STATEMENTS OF CASH FLOWS</w:t>
      </w:r>
    </w:p>
    <w:p>
      <w:pPr>
        <w:pStyle w:val="TextBody"/>
        <w:bidi w:val="0"/>
        <w:jc w:val="center"/>
        <w:rPr>
          <w:rFonts w:ascii="Times New Roman" w:hAnsi="Times New Roman"/>
          <w:color w:val="000000"/>
          <w:sz w:val="18"/>
        </w:rPr>
      </w:pPr>
      <w:r>
        <w:rPr>
          <w:rFonts w:ascii="Times New Roman" w:hAnsi="Times New Roman"/>
          <w:color w:val="000000"/>
          <w:sz w:val="18"/>
        </w:rPr>
        <w:t>(in thousands)</w:t>
      </w:r>
    </w:p>
    <w:p>
      <w:pPr>
        <w:pStyle w:val="TextBody"/>
        <w:bidi w:val="0"/>
        <w:jc w:val="center"/>
        <w:rPr>
          <w:rFonts w:ascii="Times New Roman" w:hAnsi="Times New Roman"/>
          <w:sz w:val="20"/>
        </w:rPr>
      </w:pPr>
      <w:r>
        <w:rPr>
          <w:rFonts w:ascii="Times New Roman" w:hAnsi="Times New Roman"/>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22"/>
        <w:gridCol w:w="346"/>
        <w:gridCol w:w="196"/>
        <w:gridCol w:w="691"/>
        <w:gridCol w:w="366"/>
        <w:gridCol w:w="346"/>
        <w:gridCol w:w="196"/>
        <w:gridCol w:w="751"/>
        <w:gridCol w:w="791"/>
      </w:tblGrid>
      <w:tr>
        <w:trPr/>
        <w:tc>
          <w:tcPr>
            <w:tcW w:w="65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Twenty-six weeks ended</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27,</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28,</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(93,694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42,563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45,178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brewery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Litigation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192,646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non-cash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(43,399</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19,793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Third-party production prepayments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Brewery-related assets and cloud computing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117,575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disposal of property, plant,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and retirement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(49,957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 and sale of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on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tax withholding on stock-based payment awards and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(52,617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(103,692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42,171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223,378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265,549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212,432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payment,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amounts included in measurement of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outflows from 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outflows from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cash outflows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obtained in exchange for operating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Right-of-use-assets obtained in exchange for finance lease obligations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accounts payable for 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financing activity – decrease in accrued excise taxes on share repurchases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investing activity - application of supplier shortfall fees to reduce notes receivable and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and twenty-six weeks ended June 27, 2026 and June 28, 2025</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197" w:type="dxa"/>
        <w:jc w:val="left"/>
        <w:tblInd w:w="0" w:type="dxa"/>
        <w:tblLayout w:type="fixed"/>
        <w:tblCellMar>
          <w:top w:w="28" w:type="dxa"/>
          <w:left w:w="28" w:type="dxa"/>
          <w:bottom w:w="28" w:type="dxa"/>
          <w:right w:w="28" w:type="dxa"/>
        </w:tblCellMar>
      </w:tblPr>
      <w:tblGrid>
        <w:gridCol w:w="1261"/>
        <w:gridCol w:w="146"/>
        <w:gridCol w:w="155"/>
        <w:gridCol w:w="611"/>
        <w:gridCol w:w="166"/>
        <w:gridCol w:w="146"/>
        <w:gridCol w:w="306"/>
        <w:gridCol w:w="460"/>
        <w:gridCol w:w="166"/>
        <w:gridCol w:w="146"/>
        <w:gridCol w:w="155"/>
        <w:gridCol w:w="611"/>
        <w:gridCol w:w="146"/>
        <w:gridCol w:w="146"/>
        <w:gridCol w:w="306"/>
        <w:gridCol w:w="460"/>
        <w:gridCol w:w="146"/>
        <w:gridCol w:w="146"/>
        <w:gridCol w:w="211"/>
        <w:gridCol w:w="781"/>
        <w:gridCol w:w="166"/>
        <w:gridCol w:w="146"/>
        <w:gridCol w:w="370"/>
        <w:gridCol w:w="846"/>
        <w:gridCol w:w="166"/>
        <w:gridCol w:w="146"/>
        <w:gridCol w:w="222"/>
        <w:gridCol w:w="889"/>
        <w:gridCol w:w="166"/>
        <w:gridCol w:w="146"/>
        <w:gridCol w:w="211"/>
        <w:gridCol w:w="84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pPr>
      <w:r>
        <w:rPr/>
        <w:t> </w:t>
      </w:r>
    </w:p>
    <w:tbl>
      <w:tblPr>
        <w:tblW w:w="11042" w:type="dxa"/>
        <w:jc w:val="left"/>
        <w:tblInd w:w="0" w:type="dxa"/>
        <w:tblLayout w:type="fixed"/>
        <w:tblCellMar>
          <w:top w:w="28" w:type="dxa"/>
          <w:left w:w="28" w:type="dxa"/>
          <w:bottom w:w="28" w:type="dxa"/>
          <w:right w:w="28" w:type="dxa"/>
        </w:tblCellMar>
      </w:tblPr>
      <w:tblGrid>
        <w:gridCol w:w="1261"/>
        <w:gridCol w:w="146"/>
        <w:gridCol w:w="155"/>
        <w:gridCol w:w="611"/>
        <w:gridCol w:w="166"/>
        <w:gridCol w:w="146"/>
        <w:gridCol w:w="306"/>
        <w:gridCol w:w="460"/>
        <w:gridCol w:w="166"/>
        <w:gridCol w:w="146"/>
        <w:gridCol w:w="155"/>
        <w:gridCol w:w="611"/>
        <w:gridCol w:w="146"/>
        <w:gridCol w:w="146"/>
        <w:gridCol w:w="306"/>
        <w:gridCol w:w="460"/>
        <w:gridCol w:w="146"/>
        <w:gridCol w:w="146"/>
        <w:gridCol w:w="211"/>
        <w:gridCol w:w="781"/>
        <w:gridCol w:w="146"/>
        <w:gridCol w:w="146"/>
        <w:gridCol w:w="370"/>
        <w:gridCol w:w="846"/>
        <w:gridCol w:w="166"/>
        <w:gridCol w:w="146"/>
        <w:gridCol w:w="211"/>
        <w:gridCol w:w="781"/>
        <w:gridCol w:w="166"/>
        <w:gridCol w:w="146"/>
        <w:gridCol w:w="220"/>
        <w:gridCol w:w="81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 Organization and 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Inc. and certain subsidiaries (the “Company”) are engaged in the business of selling alcohol beverages throughout the United States and in selected international markets, under the tradenames “The Boston Beer Company®”, “Twisted Tea Brewing Company®”, “Hard Seltzer Beverage Company”, “Angry Orchard® Cider Company”, “Dogfish Head® Craft Brewery”, “Dogfish Head Distilling Co.”, “Angel City® Brewing Company”, “Coney Island® Brewing Company”, "Green Rebel Brewing Co.", and "Sun Cruiser Beverage Co.".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accompanying unaudited condensed consolidated balance sheet as of June 27, 2026, and the unaudited condensed consolidated statements of comprehensive operations, stockholders’ equity, and cash flows for the interim periods ended June 27, 2026 and June 28, 2025, respectively, have been prepared by the Company in accordance with U.S. generally accepted accounting principles (“GAAP”) for interim financial information and pursuant to the rules and regulations of the Securities and Exchange Commission. Accordingly, certain information and footnotes normally included in financial statements prepared in accordance with GAAP have been condensed or omitted. All intercompany accounts and transactions have been eliminated. </w:t>
      </w:r>
      <w:r>
        <w:rPr>
          <w:rFonts w:ascii="Times New Roman" w:hAnsi="Times New Roman"/>
          <w:color w:val="030303"/>
          <w:sz w:val="20"/>
        </w:rPr>
        <w:t>Certain reclassifications have been made to previously reported captioned amounts within operating cash flow activities to conform to the fiscal 2026 presentation of disaggregated activity. These condensed consolidated financial statements should be read in conjunc</w:t>
      </w:r>
      <w:r>
        <w:rPr>
          <w:rFonts w:ascii="Times New Roman" w:hAnsi="Times New Roman"/>
          <w:color w:val="000000"/>
          <w:sz w:val="20"/>
        </w:rPr>
        <w:t>tion with the audited financial statements included in the Company’s Annual Report on Form 10-K for the year ended December 27,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the Company’s management, the Company’s unaudited condensed consolidated balance sheet as of June 27, 2026 and the results of its condensed consolidated comprehensive operations, stockholders’ equity, and cash flows for the interim periods ended June 27, 2026 and June 28, 2025, reflect all adjustments necessary to present fairly the results of the interim periods presented. The operating results for the interim periods presented are not necessarily indicative of the results expected for the full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2024, the FASB issued ASU 2024-03—</w:t>
      </w:r>
      <w:r>
        <w:rPr>
          <w:rFonts w:ascii="Times New Roman" w:hAnsi="Times New Roman"/>
          <w:i/>
          <w:color w:val="000000"/>
          <w:sz w:val="20"/>
        </w:rPr>
        <w:t>Income Statement - Reporting Comprehensive Income - Expenses Disaggregation Disclosures</w:t>
      </w:r>
      <w:r>
        <w:rPr>
          <w:rFonts w:ascii="Times New Roman" w:hAnsi="Times New Roman"/>
          <w:color w:val="000000"/>
          <w:sz w:val="20"/>
        </w:rPr>
        <w:t xml:space="preserve"> (SubTopic 220-40): </w:t>
      </w:r>
      <w:r>
        <w:rPr>
          <w:rFonts w:ascii="Times New Roman" w:hAnsi="Times New Roman"/>
          <w:i/>
          <w:color w:val="000000"/>
          <w:sz w:val="20"/>
        </w:rPr>
        <w:t>Disaggregation of Income Statement Expense</w:t>
      </w:r>
      <w:r>
        <w:rPr>
          <w:rFonts w:ascii="Times New Roman" w:hAnsi="Times New Roman"/>
          <w:color w:val="000000"/>
          <w:sz w:val="20"/>
        </w:rPr>
        <w:t xml:space="preserve">s. This ASU was issued to address investor requests for more detailed information about the types of expenses in commonly presented expense captions (such as cost of sales, SG&amp;A, and research and development). This ASU is effective for public entities for annual periods beginning after December 15, 2026. Early adoption is permitted. ASU 2024-03 will be effective for the Company in the first quarter of its fiscal year ending December 25, 2027. The Company is currently evaluating the impact the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July 2025, the FASB issued ASU 2025</w:t>
        <w:noBreakHyphen/>
        <w:t>05—</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a practical expedient intended to simplify the estimation of expected credit losses for current accounts receivable and contract assets arising under Topic 606, Revenue from Contracts with Customers. The ASU became effective for annual and interim periods beginning after December 15, 2025. The Company adopted ASU 2025</w:t>
        <w:noBreakHyphen/>
        <w:t>05 in the first quarter of 2026 and elected the practical expedient to assume that current conditions as of the balance sheet date remain unchanged over the remaining life of current accounts receivable when estimating expected credit losses. The adoption of this ASU did not have a material impact on the Company’s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2025, the FASB issued ASU 2025-11—</w:t>
      </w:r>
      <w:r>
        <w:rPr>
          <w:rFonts w:ascii="Times New Roman" w:hAnsi="Times New Roman"/>
          <w:i/>
          <w:color w:val="000000"/>
          <w:sz w:val="20"/>
        </w:rPr>
        <w:t>Interim Reporting (Topic 270): Narrow-Scope Improvements</w:t>
      </w:r>
      <w:r>
        <w:rPr>
          <w:rFonts w:ascii="Times New Roman" w:hAnsi="Times New Roman"/>
          <w:color w:val="000000"/>
          <w:sz w:val="20"/>
        </w:rPr>
        <w:t>. This ASU was issued to improve the navigability of the interim reporting guidance and to clarify when and how the interim disclosure requirements in Topic 270 apply. The amendments also introduce a disclosure principle requiring entities to disclose events and changes since the end of the most recent annual reporting period that have a material impact on the entity. The ASU does not change the fundamental nature of interim reporting or significantly expand or reduce existing interim disclosure requirements. ASU 2025-11 is effective for public entities for interim reporting periods within fiscal years beginning after December 15, 2027. Early adoption is permitted. The Company is currently evaluating the impact the adoption of this ASU will have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Revenue Recognition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breakdown of revenue during the thirteen and twenty-six weeks ended June 27, 2026 and June 28, 2025 were as follows: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3256"/>
        <w:gridCol w:w="268"/>
        <w:gridCol w:w="857"/>
        <w:gridCol w:w="286"/>
        <w:gridCol w:w="146"/>
        <w:gridCol w:w="268"/>
        <w:gridCol w:w="857"/>
        <w:gridCol w:w="286"/>
        <w:gridCol w:w="146"/>
        <w:gridCol w:w="268"/>
        <w:gridCol w:w="857"/>
        <w:gridCol w:w="316"/>
        <w:gridCol w:w="161"/>
        <w:gridCol w:w="268"/>
        <w:gridCol w:w="857"/>
        <w:gridCol w:w="331"/>
      </w:tblGrid>
      <w:tr>
        <w:trPr/>
        <w:tc>
          <w:tcPr>
            <w:tcW w:w="32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Shipments to domestic distributors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Shipments to international distributors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at retail locations</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 when obligations under the terms of a contract with its customer are satisfied; generally, this occurs with the transfer of title of its products. Revenue is measured as the amount of consideration expected to be received in exchange for transferring products. If the conditions for revenue recognition are not met, the Company defers the revenue until all conditions are met. As of June 27, 2026 and December 27, 2025, the Company has deferred $27.9 million and $13.3 million, respectively, in revenue related to product shipped prior to these dates. These amounts are included in accrued expenses and other current liabilities in the accompanying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promotional discount programs are entered into by the Company with distributors for certain periods of time. The reimbursements for discounts to distributors are recorded as reductions to net revenue and were $27.2 million and $41.0 million for the thirteen and twenty-six weeks ended June 27, 2026, respectively, and $21.6 million and $33.9 million for the thirteen and twenty-six weeks ended June 28, 2025, respectively.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for the thirteen and twenty-six weeks ended June 27, 2026 and June 28, 2025 were as follows: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32"/>
        <w:gridCol w:w="250"/>
        <w:gridCol w:w="850"/>
        <w:gridCol w:w="146"/>
        <w:gridCol w:w="146"/>
        <w:gridCol w:w="250"/>
        <w:gridCol w:w="850"/>
        <w:gridCol w:w="146"/>
        <w:gridCol w:w="146"/>
        <w:gridCol w:w="250"/>
        <w:gridCol w:w="850"/>
        <w:gridCol w:w="146"/>
        <w:gridCol w:w="146"/>
        <w:gridCol w:w="250"/>
        <w:gridCol w:w="850"/>
        <w:gridCol w:w="197"/>
      </w:tblGrid>
      <w:tr>
        <w:trPr/>
        <w:tc>
          <w:tcPr>
            <w:tcW w:w="473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recorded as a reduction to net revenue</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18,946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recorded as advertising, promotional and selling expenses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9,089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customer programs and incentives</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28,035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Costs recognized in net revenues include, but are not limited to, promotional discounts, sales incentives and certain other promotional activities. Costs recognized in advertising, promotional and selling expenses include point of sale materials, samples and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consist of raw materials, work in process and finished goods which are stated at the lower of cost, determined on the first-in, first-out basis, or net realizable value. Raw materials principally consist of hops, packaging, flavorings, fruit juices, and other brewing materials. The Company’s goal is to maintain on hand a supply of at least one year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Inventories consist of the following: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271"/>
        <w:gridCol w:w="869"/>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27, </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June 27, 2026 and December 27, 2025, the Company has recorded inventory obsolescence reserves of </w:t>
      </w:r>
      <w:r>
        <w:rPr>
          <w:rFonts w:ascii="Times New Roman" w:hAnsi="Times New Roman"/>
          <w:color w:val="030303"/>
          <w:sz w:val="20"/>
        </w:rPr>
        <w:t>$8.5 million</w:t>
      </w:r>
      <w:r>
        <w:rPr>
          <w:rFonts w:ascii="Times New Roman" w:hAnsi="Times New Roman"/>
          <w:color w:val="000000"/>
          <w:sz w:val="20"/>
        </w:rPr>
        <w:t xml:space="preserve"> and $11.1 million,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 Goodwill and Intangible Assets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No impairment of goodwill was recorded in any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The Company’s intangible assets as of June 27, 2026 and December 27,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7"/>
        <w:gridCol w:w="146"/>
        <w:gridCol w:w="733"/>
        <w:gridCol w:w="146"/>
        <w:gridCol w:w="211"/>
        <w:gridCol w:w="676"/>
        <w:gridCol w:w="146"/>
        <w:gridCol w:w="146"/>
        <w:gridCol w:w="270"/>
        <w:gridCol w:w="811"/>
        <w:gridCol w:w="166"/>
        <w:gridCol w:w="146"/>
        <w:gridCol w:w="232"/>
        <w:gridCol w:w="745"/>
        <w:gridCol w:w="146"/>
        <w:gridCol w:w="146"/>
        <w:gridCol w:w="211"/>
        <w:gridCol w:w="676"/>
        <w:gridCol w:w="146"/>
        <w:gridCol w:w="146"/>
        <w:gridCol w:w="270"/>
        <w:gridCol w:w="811"/>
        <w:gridCol w:w="166"/>
        <w:gridCol w:w="146"/>
        <w:gridCol w:w="232"/>
        <w:gridCol w:w="745"/>
        <w:gridCol w:w="193"/>
      </w:tblGrid>
      <w:tr>
        <w:trPr/>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27,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Amortization expense in the thirteen and twenty-six weeks ended June 27, 2026 was approximately $0.4 million and </w:t>
      </w:r>
      <w:r>
        <w:rPr>
          <w:rFonts w:ascii="Times New Roman" w:hAnsi="Times New Roman"/>
          <w:color w:val="030303"/>
          <w:sz w:val="20"/>
        </w:rPr>
        <w:t>$0.8 million</w:t>
      </w:r>
      <w:r>
        <w:rPr>
          <w:rFonts w:ascii="Times New Roman" w:hAnsi="Times New Roman"/>
          <w:color w:val="000000"/>
          <w:sz w:val="20"/>
        </w:rPr>
        <w:t>. The Company expects to record future amortization expense as follows:</w:t>
      </w:r>
    </w:p>
    <w:p>
      <w:pPr>
        <w:pStyle w:val="TextBody"/>
        <w:bidi w:val="0"/>
        <w:jc w:val="left"/>
        <w:rPr/>
      </w:pPr>
      <w:r>
        <w:rPr/>
        <w:t> </w:t>
      </w:r>
    </w:p>
    <w:tbl>
      <w:tblPr>
        <w:tblW w:w="4433" w:type="dxa"/>
        <w:jc w:val="left"/>
        <w:tblInd w:w="0" w:type="dxa"/>
        <w:tblLayout w:type="fixed"/>
        <w:tblCellMar>
          <w:top w:w="28" w:type="dxa"/>
          <w:left w:w="28" w:type="dxa"/>
          <w:bottom w:w="28" w:type="dxa"/>
          <w:right w:w="28" w:type="dxa"/>
        </w:tblCellMar>
      </w:tblPr>
      <w:tblGrid>
        <w:gridCol w:w="2341"/>
        <w:gridCol w:w="146"/>
        <w:gridCol w:w="417"/>
        <w:gridCol w:w="1338"/>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 Third-Party Production Payments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During the thirteen and twenty-six weeks ended June 27, 2026, the Company produced approximately 84% and 89%, respectively, of its domestic volume at Company-owned production facilities. During the thirteen and twenty-six weeks ended June 28, 2025, the Company produced approximately 76% and 80%, respectively, of its domestic volume at Company-owned production facilities. In the normal course of its business, the Company has historically entered into various production arrangements with other beverage companies. Pursuant to these arrangements, the Company generally supplies raw materials and packaging to those companies and incurs conversion fees for labor at the time the liquid is produced and packaged.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currently has production services agreements with subsidiaries of City Brewing Company, LLC (“City Brewing”). In August 2025, the Company extended the terms and amended certain fees under these agreements. The contracts now expire on December 31, 2028 and the Company retains the contractual right to extend these agreements annually through December 31, 2035. These City Brewing agreements include a minimum capacity availability commitment by City Brewing and the Company is obligated to meet annual minimum volume commitments and is subject to contractual shortfall fees, if these annual minimum volume commitments are not met.</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During the thirteen and twenty-six weeks ended June 27, 2026, City Brewing supplied approximately 15% and 11%, respectively, of the Company’s domestic shipment volume. During the thirteen and twenty-six weeks ended June 28, 2025, City Brewing supplied approximately 24% and 20%, respectively, of the Company’s domestic shipment volume. In accordance with the production services agreement, the Company has made payments to City Brewing which were principally used for capital improvements at City Brewing facilities. These payments are being expensed over the terms of the agreements. During the thirteen and twenty-six weeks ended June 27, 2026, third-party production prepayment expense was $0.6 million and $1.2 million, respectively. During the thirteen and twenty-six weeks ended June 28, 2025, third-party production prepayment expense was $2.6 million and $5.2 million, respectively. The remaining net book value of these third-party production prepayments is $5.9 million as of June 27, 2026, which is expected to be expensed to cost of goods sold ratably based on committed annual production capacity through December 31, 2028.</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In December of 2024, the Company announced an amendment and restatement in its entirety of an existing production agreement with a third-party supplier, Rauch North America Inc ("Rauch"). The amended and restated Rauch agreement includes quarterly minimum payments that total $4.1 million annually at zero volume and a termination fee of $5 million with 12 months written notice. The initial term of the agreement expires on December 31, 2031 with provisions to extend.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the thirteen weeks and twenty-six weeks ended June 27, 2026, the Company incurred $1.0 million and $2.0 million, respectively, in shortfall fees. During the thirteen weeks and twenty-six weeks ended June 28, 2025, the Company incurred $5.7 million and $6.5 million, respectively, in shortfall fees. At current volume projections, the Company anticipates that it will recognize approximately $20 million of shortfall fees in the future, with $5 million forecasted to be expensed in the remainder of 2026 and $15 million expected to be expensed in future years thereafter. </w:t>
      </w:r>
    </w:p>
    <w:p>
      <w:pPr>
        <w:pStyle w:val="TextBody"/>
        <w:bidi w:val="0"/>
        <w:jc w:val="left"/>
        <w:rPr>
          <w:rFonts w:ascii="Times New Roman" w:hAnsi="Times New Roman"/>
          <w:color w:val="030303"/>
          <w:sz w:val="20"/>
        </w:rPr>
      </w:pPr>
      <w:r>
        <w:rPr>
          <w:rFonts w:ascii="Times New Roman" w:hAnsi="Times New Roman"/>
          <w:color w:val="030303"/>
          <w:sz w:val="20"/>
        </w:rPr>
        <w:t xml:space="preserve">As of June 27, 2026, if volume for the remaining term of the City Brewing, Rauch and other production arrangements was zero, the total contractual shortfall and termination fees, with advance notice as specified in the related contractual agreements, would total approximately $25 million with $5 million due in 2026 and $20 million due in future years thereafter. </w:t>
      </w:r>
    </w:p>
    <w:p>
      <w:pPr>
        <w:pStyle w:val="TextBody"/>
        <w:bidi w:val="0"/>
        <w:jc w:val="left"/>
        <w:rPr>
          <w:rFonts w:ascii="Times New Roman" w:hAnsi="Times New Roman"/>
          <w:color w:val="030303"/>
          <w:sz w:val="20"/>
        </w:rPr>
      </w:pPr>
      <w:r>
        <w:rPr>
          <w:rFonts w:ascii="Times New Roman" w:hAnsi="Times New Roman"/>
          <w:color w:val="030303"/>
          <w:sz w:val="20"/>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G. Note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City Brewing entered into a Loan and Security agreement on January 2, 2024, at which time payment of $20 million was made by the Company to City Brewing. Repayment of the note receivable plus an agreed investment return for a combined total of $22.4 million will be credited to the Company through reductions of shortfall fees, subject to annual repayment limits and through other payments or credits, should owed shortfall fees be lower than these annual repayment limits. The final maturity date of the loan is December 31, 2028.</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determined the fair value of the note receivable on the issuance date to be $18.6 million. The $1.4 million difference between the ca</w:t>
      </w:r>
      <w:r>
        <w:rPr>
          <w:rFonts w:ascii="Times New Roman" w:hAnsi="Times New Roman"/>
          <w:color w:val="030303"/>
          <w:sz w:val="20"/>
        </w:rPr>
        <w:t>sh paid to City Brewing of $20.0 million and the fair value of the note of $18.6 million on issuance date has been recorded as a third-party production prepayment asset and will be recognized as a component of cost of goods sold over the term of the third-party production arrangement. The unamortized balance was $0.3 million as of June 27, 2026. Interest income on the note receivable is being recognized over the term of the loan, which is to be repaid in full no later than December 31, 2028.</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As of June 27, 2026, the Company had $7.8 million fair value remaining on the note receivable.</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H.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net income (loss) per share using the two-class method, which requires the Company to allocate net income (loss) to its Class A Common Shares, Class B Common Shares and unvested share-based payment awards that participate in dividends with common stock, in the calculation of net income (loss)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the Class B Common Stock is freely convertible into one share of Class A Common Stock, upon request of the respective Class B holder, and participates equally in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unvested share-based payment awards include unvested shares (1) issued under the Company’s investment share program, which permits employees who have been with the Company for at least one year to purchase shares of Class A Common Stock and to purchase those shares at a discount ranging from 20% to 40% below market value based on years of employment starting after two years of employment, and (2) awarded as restricted stock units at the discretion of the Company’s Board of Directors. The investment shares vest over five years in equal number of shares and the restricted stock units generally vest over four years in equal number of shares. If a dividend is declared, the unvested shares would participate equally. See Note M for a discussion of the current year unvested stock awards and issuances.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computation of net income (loss) per diluted common share are dilutive outstanding stock options and restricted stock that are vested or expected to vest, to the extent such awards are dilutive. At its discretion, the Board of Directors grants stock options and restricted stock units to senior management and certain key employees. The terms of the employee stock options are determined by the Board of Directors at the time of grant. To date, stock options granted to employees vest over various service periods and/or based on the attainment of certain performance criteria and generally expire after ten years. The restricted stock units generally vest over four years in equal number of shares. Each restricted stock unit represents an unfunded and unsecured right to receive one share of Class A Stock upon satisfaction of the vesting criteria. The unvested shares participate equally in dividends, if declared, and are forfeitable. The Company also grants stock options and restricted stock units to its non-employee directors upon election or re-election to the Board of Directors. The number of option shares granted to non-employee directors is calculated based on a defined formula and these stock options vest immediately upon grant and expire after ten years. The restricted stock units granted to non-employee directors vest one year post grant date.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(Loss) per Common Share - Basic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net income (loss) per share using the two-class method:</w:t>
      </w:r>
    </w:p>
    <w:p>
      <w:pPr>
        <w:pStyle w:val="TextBody"/>
        <w:bidi w:val="0"/>
        <w:jc w:val="left"/>
        <w:rPr/>
      </w:pPr>
      <w:r>
        <w:rPr/>
        <w:t> </w:t>
      </w:r>
    </w:p>
    <w:tbl>
      <w:tblPr>
        <w:tblW w:w="10171" w:type="dxa"/>
        <w:jc w:val="left"/>
        <w:tblInd w:w="0" w:type="dxa"/>
        <w:tblLayout w:type="fixed"/>
        <w:tblCellMar>
          <w:top w:w="28" w:type="dxa"/>
          <w:left w:w="28" w:type="dxa"/>
          <w:bottom w:w="28" w:type="dxa"/>
          <w:right w:w="28" w:type="dxa"/>
        </w:tblCellMar>
      </w:tblPr>
      <w:tblGrid>
        <w:gridCol w:w="3796"/>
        <w:gridCol w:w="146"/>
        <w:gridCol w:w="283"/>
        <w:gridCol w:w="908"/>
        <w:gridCol w:w="196"/>
        <w:gridCol w:w="196"/>
        <w:gridCol w:w="283"/>
        <w:gridCol w:w="908"/>
        <w:gridCol w:w="146"/>
        <w:gridCol w:w="146"/>
        <w:gridCol w:w="272"/>
        <w:gridCol w:w="952"/>
        <w:gridCol w:w="214"/>
        <w:gridCol w:w="188"/>
        <w:gridCol w:w="272"/>
        <w:gridCol w:w="874"/>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income (loss) for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for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for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Income (Loss) per Common Share - Diluted</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calculates diluted net income (loss) per common share using the more dilutive of (i) the treasury stock method or (ii) the two-class method, which assumes participating securities remain outstanding and are not exercised or converted.</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twenty-six weeks ended June 27, 2026, the Company reported a net loss. Accordingly, all potential common shares were anti-dilutive, and diluted net loss per common share was equal to basic net loss per common share. As a result, the calculation of diluted net loss per common share reflects the same allocation of net loss and weighted-average common shares outstanding used in the calculation of basic net loss per common share.</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thirteen weeks ended June 27, 2026 and the thirteen and twenty-six weeks ended June 28, 2025, the Company reported net income. Diluted net income per common share reflects both the allocation of earnings to participating securities under the two-class method and the effect of dilutive share-based awards included in diluted weighted-average common shares outstanding.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following table presents the calculation of diluted net income (loss) per common share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8"/>
        <w:gridCol w:w="146"/>
        <w:gridCol w:w="234"/>
        <w:gridCol w:w="817"/>
        <w:gridCol w:w="166"/>
        <w:gridCol w:w="146"/>
        <w:gridCol w:w="146"/>
        <w:gridCol w:w="676"/>
        <w:gridCol w:w="146"/>
        <w:gridCol w:w="146"/>
        <w:gridCol w:w="211"/>
        <w:gridCol w:w="526"/>
        <w:gridCol w:w="166"/>
        <w:gridCol w:w="146"/>
        <w:gridCol w:w="250"/>
        <w:gridCol w:w="801"/>
        <w:gridCol w:w="146"/>
        <w:gridCol w:w="146"/>
        <w:gridCol w:w="146"/>
        <w:gridCol w:w="676"/>
        <w:gridCol w:w="146"/>
        <w:gridCol w:w="146"/>
        <w:gridCol w:w="211"/>
        <w:gridCol w:w="466"/>
        <w:gridCol w:w="191"/>
      </w:tblGrid>
      <w:tr>
        <w:trPr/>
        <w:tc>
          <w:tcPr>
            <w:tcW w:w="3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 Class A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participating shares (loss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 - effect of dilutive common shares (income periods only)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effect of unvested participating shares (income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to</w:t>
              <w:br/>
              <w:t>Common</w:t>
              <w:br/>
              <w:t>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 Class A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participating shares (loss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 - effect of dilutive common shares (income periods only)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effect of unvested participating shares (income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For the thirteen weeks ended June 27, 2026, in accordance with the two-class method, weighted-average stock options to purchase 230,175 were outstanding but not included in computing dilutive income per common share because their effects were anti-dilutive. </w:t>
      </w:r>
    </w:p>
    <w:p>
      <w:pPr>
        <w:pStyle w:val="TextBody"/>
        <w:bidi w:val="0"/>
        <w:jc w:val="left"/>
        <w:rPr>
          <w:rFonts w:ascii="Times New Roman" w:hAnsi="Times New Roman"/>
          <w:color w:val="030303"/>
          <w:sz w:val="20"/>
        </w:rPr>
      </w:pPr>
      <w:r>
        <w:rPr>
          <w:rFonts w:ascii="Times New Roman" w:hAnsi="Times New Roman"/>
          <w:color w:val="030303"/>
          <w:sz w:val="20"/>
        </w:rPr>
        <w:t>For the twenty-six weeks ended June 27, 2026, in accordance with the two-class method, weighted</w:t>
        <w:noBreakHyphen/>
        <w:t>average stock options to purchase 234,074 shares were outstanding but not included in computing dilutive income per common share because the net loss position of the Company made them anti</w:t>
        <w:noBreakHyphen/>
        <w:t>dilutive. Additionally, performance-based stock options to purchase 6,930 shares of Class A Common Stock were outstanding as of June 27, 2026 but not included in computing diluted income per common share because the performance criteria were not met as of the end of the reporting period.</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thirteen and twenty-six weeks ended June 28, 2025, in accordance with the two-class method, weighted-average stock options to purchase 199,197 and 184,176 shares, respectively, were outstanding but not included in computing dilutive income per common share because their effects were anti-dilutive. Additionally, performance-based stock options to purchase 36,929 shares of Class A Common Stock were outstanding as of June 28, 2025 but not included in computing diluted income per common share because the performance criteria were not met as of the end of the reporting period.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Commitments and Contingencies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27, 2026, projected cash outflows under non-cancellable contractual obligations are as follows:</w:t>
      </w:r>
    </w:p>
    <w:p>
      <w:pPr>
        <w:pStyle w:val="TextBody"/>
        <w:bidi w:val="0"/>
        <w:jc w:val="left"/>
        <w:rPr/>
      </w:pPr>
      <w:r>
        <w:rPr/>
        <w:t> </w:t>
      </w:r>
    </w:p>
    <w:tbl>
      <w:tblPr>
        <w:tblW w:w="5918" w:type="dxa"/>
        <w:jc w:val="left"/>
        <w:tblInd w:w="0" w:type="dxa"/>
        <w:tblLayout w:type="fixed"/>
        <w:tblCellMar>
          <w:top w:w="28" w:type="dxa"/>
          <w:left w:w="28" w:type="dxa"/>
          <w:bottom w:w="28" w:type="dxa"/>
          <w:right w:w="28" w:type="dxa"/>
        </w:tblCellMar>
      </w:tblPr>
      <w:tblGrid>
        <w:gridCol w:w="4456"/>
        <w:gridCol w:w="146"/>
        <w:gridCol w:w="239"/>
        <w:gridCol w:w="886"/>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Hops and malt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Ingredients and packaging (excluding hops and malt)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expects to pay $138.1 million of these obligations in the remainder of fiscal 2026, $28.0 million in fiscal 2027, $15.8 million in fiscal 2028, and $40.8 million in fiscal 2029 and thereafter. The commitment amounts exclude any impact related to the tariff programs announcement by the U.S. government.</w:t>
      </w:r>
    </w:p>
    <w:p>
      <w:pPr>
        <w:pStyle w:val="TextBody"/>
        <w:bidi w:val="0"/>
        <w:jc w:val="left"/>
        <w:rPr/>
      </w:pPr>
      <w:r>
        <w:rPr/>
        <w:t> </w:t>
      </w:r>
    </w:p>
    <w:p>
      <w:pPr>
        <w:pStyle w:val="TextBody"/>
        <w:bidi w:val="0"/>
        <w:jc w:val="left"/>
        <w:rPr>
          <w:rFonts w:ascii="Times New Roman" w:hAnsi="Times New Roman"/>
          <w:i/>
          <w:color w:val="030303"/>
          <w:sz w:val="20"/>
        </w:rPr>
      </w:pPr>
      <w:r>
        <w:rPr>
          <w:rFonts w:ascii="Times New Roman" w:hAnsi="Times New Roman"/>
          <w:i/>
          <w:color w:val="030303"/>
          <w:sz w:val="20"/>
        </w:rPr>
        <w:t>Litigation</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the loss can be estimated. Material pending legal proceedings are discussed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30303"/>
          <w:sz w:val="20"/>
        </w:rPr>
        <w:t>Supplier Dispute.</w:t>
      </w:r>
      <w:r>
        <w:rPr>
          <w:rFonts w:ascii="Times New Roman" w:hAnsi="Times New Roman"/>
          <w:color w:val="030303"/>
          <w:sz w:val="20"/>
        </w:rPr>
        <w:t xml:space="preserve"> As previously reported, including in the Company's Annual Report on Form 10-K for the year ended December 27, 2025, on December 31, 2022, Ardagh Metal Packaging USA Corp. ("Ardagh") filed an action against the Company alleging, among other things, that the Company had failed or would fail to purchase contractual minimum volumes of certain aluminum beverage can containers during the 2021 through 2026 periods. The trial commenced on March 23, 2026 and, on April 6, 2026, a jury returned a verdict awarding damages to Ardagh.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As a result of the verdict, during the first quarter of 2026, the Company recorded a non-recurring pre-tax litigation expense of $175.5 million and accrued $36.5 million of estimated pre-judgment interest expense. In addition, the Company recorded $4.0 million of legal fees within general and administrative expenses. The total pre-tax impact of these items was $216.0 million.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On May 26, 2026, the court entered an amended final judgment awarding damages of $175.5 million and determining pre-judgment interest of $15.5 million. As a result, during the second quarter of 2026, the Company recorded a $21.1 million reduction in pre-judgment interest expense and $1.7 million of post-judgment interest expense, resulting in a net pre-tax benefit of $19.4 million within litigation expense. In addition, the Company recorded $1.4 million of associated legal fees, which were included in general and administrative expenses. The net pre-tax benefit from these items in the second quarter of 2026 was $18.0 million.</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 xml:space="preserve">Through June 27, 2026, the cumulative pre-tax impact of the Ardagh litigation was expense of $198.1 million, consisting of $175.5 million of damages, $17.2 million of net pre- and post-judgment interest expense, and $5.4 million of legal fees. </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denies that it breached the terms of the parties’ contract and intends to pursue all available post</w:t>
        <w:noBreakHyphen/>
        <w:t>trial motions and appellate remedies. To that end, the Company filed a post-trial motion on June 8, 2026, Ardagh responded on July 8, 2026, and the Company filed its reply on July 23, 2026. The Company also filed a Notice of Appeal which is stayed pending the district court’s ruling on the Company’s post trial motion.</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Company cannot estimate when or if damages or interest will ultimately be paid or when this matter will ultimately be resolved.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 Income Taxes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The following table presents the Company’s effective income tax rates for the thirteen and twenty-six weeks ended June 27, 2026 and June 28, 2025:</w:t>
      </w:r>
    </w:p>
    <w:p>
      <w:pPr>
        <w:pStyle w:val="TextBody"/>
        <w:bidi w:val="0"/>
        <w:jc w:val="left"/>
        <w:rPr/>
      </w:pPr>
      <w:r>
        <w:rPr/>
        <w:t> </w:t>
      </w:r>
    </w:p>
    <w:tbl>
      <w:tblPr>
        <w:tblW w:w="5316" w:type="dxa"/>
        <w:jc w:val="left"/>
        <w:tblInd w:w="0" w:type="dxa"/>
        <w:tblLayout w:type="fixed"/>
        <w:tblCellMar>
          <w:top w:w="28" w:type="dxa"/>
          <w:left w:w="28" w:type="dxa"/>
          <w:bottom w:w="28" w:type="dxa"/>
          <w:right w:w="28" w:type="dxa"/>
        </w:tblCellMar>
      </w:tblPr>
      <w:tblGrid>
        <w:gridCol w:w="1501"/>
        <w:gridCol w:w="146"/>
        <w:gridCol w:w="749"/>
        <w:gridCol w:w="151"/>
        <w:gridCol w:w="749"/>
        <w:gridCol w:w="146"/>
        <w:gridCol w:w="828"/>
        <w:gridCol w:w="167"/>
        <w:gridCol w:w="879"/>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29.2%</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For the thirteen weeks ended June 27, 2026, the Company recorded an income tax provision, resulting in an effective tax rate of 28.7%. For the twenty-six weeks ended June 27, 2026, the Company recorded an income tax benefit, resulting in an effective tax rate of 19.7%. For the thirteen and twenty-six weeks ended June 28, 2025, the Company recorded an income tax provision, resulting in an effective tax rate of 28.1% and 29.2%, respectively. The change in the effective tax rate period over period was primarily driven by a pre</w:t>
        <w:noBreakHyphen/>
        <w:t>tax loss in the first quarter of 2026 compared to pre</w:t>
        <w:noBreakHyphen/>
        <w:t>tax income in the first quarter of 2025, as well as changes in the impact of non</w:t>
        <w:noBreakHyphen/>
        <w:t>deductible expenses.</w:t>
      </w:r>
    </w:p>
    <w:p>
      <w:pPr>
        <w:pStyle w:val="TextBody"/>
        <w:bidi w:val="0"/>
        <w:jc w:val="left"/>
        <w:rPr>
          <w:rFonts w:ascii="Times New Roman" w:hAnsi="Times New Roman"/>
          <w:sz w:val="20"/>
        </w:rPr>
      </w:pPr>
      <w:r>
        <w:rPr>
          <w:rFonts w:ascii="Times New Roman" w:hAnsi="Times New Roman"/>
          <w:color w:val="FF0000"/>
          <w:sz w:val="20"/>
        </w:rPr>
        <w:br/>
      </w:r>
      <w:r>
        <w:rPr>
          <w:rFonts w:ascii="Times New Roman" w:hAnsi="Times New Roman"/>
          <w:color w:val="000000"/>
          <w:sz w:val="20"/>
        </w:rPr>
        <w:t>As of both June 27, 2026 and December 27, 2025, the Company had approximately $0.5 million of unrecognized income tax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practice is to classify interest and penalties related to income tax matters in income tax expense. As of June 27, 2026 and December 27, 2025, the Company had approximately $0.1 million accrued for interest and penalties recorded in other liabilities.</w:t>
      </w:r>
    </w:p>
    <w:p>
      <w:pPr>
        <w:pStyle w:val="TextBody"/>
        <w:bidi w:val="0"/>
        <w:jc w:val="left"/>
        <w:rPr>
          <w:rFonts w:ascii="Times New Roman" w:hAnsi="Times New Roman"/>
          <w:sz w:val="20"/>
        </w:rPr>
      </w:pPr>
      <w:r>
        <w:rPr>
          <w:rFonts w:ascii="Times New Roman" w:hAnsi="Times New Roman"/>
          <w:color w:val="FF0000"/>
          <w:sz w:val="20"/>
        </w:rPr>
        <w:br/>
      </w:r>
      <w:r>
        <w:rPr>
          <w:rFonts w:ascii="Times New Roman" w:hAnsi="Times New Roman"/>
          <w:color w:val="000000"/>
          <w:sz w:val="20"/>
        </w:rPr>
        <w:t xml:space="preserve">The Company's federal income tax returns remain subject to examination for three years. The Company’s state income tax returns remain subject to examination for three or four years depending on the state’s statute of limitations. The Company is currently under one state income tax audit as of June 27,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 Line of Credit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2022, the Company amended its credit facility in place that provides for a $150.0 million revolving line of credit to extend the maturity date to December 16, 2027. Under the terms of the amended agreement, the Company may elect an interest rate for borrowings under the credit facility based on the applicable secured overnight financing rate ("SOFR") plus 1.1%. As of June 27, 2026, no borrowings were outstanding.</w:t>
      </w:r>
      <w:r>
        <w:rPr>
          <w:rFonts w:ascii="Times New Roman" w:hAnsi="Times New Roman"/>
          <w:color w:val="030303"/>
          <w:sz w:val="20"/>
        </w:rPr>
        <w:t xml:space="preserve"> As of June 27, 2026 and December 27, 2025, the Company was not in violation of any of its financial covenants to the lender under the credit facility and the unused balance of $150.0 million on the line of credit was available to the Company for future borrowings.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 Fair Value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Level 1 inputs are quoted prices (unadjusted) in active markets for identical assets or liabilities that the reporting entity has the ability to access at the measurement 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Level 3 inputs are unobservable inputs for the asset or liability in which there is little, if any, market activity for the asset or liability at the measurement date.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cash and cash equivalents are held in money market funds. These money market funds are measured at fair value on a recurring basis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and accounts payable are carried at their cost, which approximates fair value, because of their short-term nature. Other accrued expenses and liabilities, including accrued litigation</w:t>
        <w:noBreakHyphen/>
        <w:t>related loss contingencies, accrued interest, and accrued legal costs, are measured at accrued amounts in accordance with their applicable accounting guidance and are not required to be recorded at fair value; accordingly, these amounts are excluded from the Company’s fair value measurements and related hierarchy disclosures.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As of June 27, 2026 and December 27, 2025, the Company had money market funds with a “Triple A” rated money market fund. The Company considers the “Triple A” rated money market fund to be a large, highly-rated investment-grade institution. As of June 27, 2026 and December 27, 2025, the Company’s cash and cash equivalents balance was $265.5 million and $223.4 million, respectively, including money market funds amounting to $258.7 million and $216.7 million,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Non-Recurring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as of the issuance date of the Company's note receivable is classified within Level 2 of the fair value hierarchy as the fair value was partially derived from publicly quoted inputs of market interest rates for a loan of similar terms, provisions, and maturity. See Note G for further discussion on the note receivable.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 Common Stock and Stock-Based Compensation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related to stock options under the Restated Employee Equity Incentive Plan and the Stock Option Plan for Non-Employee Directors and upper management is summarized as follows:</w:t>
      </w:r>
    </w:p>
    <w:p>
      <w:pPr>
        <w:pStyle w:val="TextBody"/>
        <w:bidi w:val="0"/>
        <w:jc w:val="left"/>
        <w:rPr/>
      </w:pPr>
      <w:r>
        <w:rPr/>
        <w:t> </w:t>
      </w:r>
    </w:p>
    <w:tbl>
      <w:tblPr>
        <w:tblW w:w="9951" w:type="dxa"/>
        <w:jc w:val="left"/>
        <w:tblInd w:w="0" w:type="dxa"/>
        <w:tblLayout w:type="fixed"/>
        <w:tblCellMar>
          <w:top w:w="28" w:type="dxa"/>
          <w:left w:w="28" w:type="dxa"/>
          <w:bottom w:w="28" w:type="dxa"/>
          <w:right w:w="28" w:type="dxa"/>
        </w:tblCellMar>
      </w:tblPr>
      <w:tblGrid>
        <w:gridCol w:w="4201"/>
        <w:gridCol w:w="146"/>
        <w:gridCol w:w="146"/>
        <w:gridCol w:w="781"/>
        <w:gridCol w:w="166"/>
        <w:gridCol w:w="146"/>
        <w:gridCol w:w="267"/>
        <w:gridCol w:w="858"/>
        <w:gridCol w:w="146"/>
        <w:gridCol w:w="146"/>
        <w:gridCol w:w="271"/>
        <w:gridCol w:w="869"/>
        <w:gridCol w:w="146"/>
        <w:gridCol w:w="146"/>
        <w:gridCol w:w="239"/>
        <w:gridCol w:w="886"/>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Of the total options outstanding as of June 27, 2026</w:t>
      </w:r>
      <w:r>
        <w:rPr>
          <w:rFonts w:ascii="Times New Roman" w:hAnsi="Times New Roman"/>
          <w:color w:val="030303"/>
          <w:sz w:val="20"/>
        </w:rPr>
        <w:t xml:space="preserve">, 6,930 </w:t>
      </w:r>
      <w:r>
        <w:rPr>
          <w:rFonts w:ascii="Times New Roman" w:hAnsi="Times New Roman"/>
          <w:color w:val="000000"/>
          <w:sz w:val="20"/>
        </w:rPr>
        <w:t xml:space="preserve">shares were performance-based options for which the performance criteria had yet to be achieved.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27, 2026, the Company granted options to purchase an aggregate of 4,146 shares of the Company’s Class A Common Stock to the Company’s non-employee Directors. All of the options vested immediately on the date of the grant. These options have a fair value and exercise price per share of $94.18 and $181.63, respectively.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Non-Vested Shares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vesting activities of shares issued under the investment share program and restricted stock units: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2866"/>
        <w:gridCol w:w="146"/>
        <w:gridCol w:w="222"/>
        <w:gridCol w:w="1188"/>
        <w:gridCol w:w="166"/>
        <w:gridCol w:w="146"/>
        <w:gridCol w:w="542"/>
        <w:gridCol w:w="1738"/>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Of the total non-vested shares as of June 27, 2026, </w:t>
      </w:r>
      <w:r>
        <w:rPr>
          <w:rFonts w:ascii="Times New Roman" w:hAnsi="Times New Roman"/>
          <w:color w:val="030303"/>
          <w:sz w:val="20"/>
        </w:rPr>
        <w:t xml:space="preserve">62,024 </w:t>
      </w:r>
      <w:r>
        <w:rPr>
          <w:rFonts w:ascii="Times New Roman" w:hAnsi="Times New Roman"/>
          <w:color w:val="000000"/>
          <w:sz w:val="20"/>
        </w:rPr>
        <w:t>shares were performance-based shares for which the performance criteria had yet to be achieved.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 2026, the Company granted a combined 52,427 shares of restricted stock units to certain officers, senior managers and key employees. Of the restricted stock units granted, 6,507 had performance-based vesting criteria. The remainder of restricted stock units granted on March 1, 2026 vests ratably over service periods of four years. Additionally, on March 1, 2026, employees elected to purchase a combined 11,083 shares under the Company’s investment share program. The weighted average fair value of the restricted stock units and investment shares, which are sold to employees at discount under its investment share program, was $226.78 and $132.59 per share,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27, 2026, the Company granted a combined 2,148 shares of restricted stock units to the Company’s non-employee Directors, of which all shares vest one year from the grant date. The fair value of the restricted stock units was $181.63 per share.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regarding stock-based compensation expense included in operating expenses in the accompanying condensed consolidated statements of comprehensive operations:</w:t>
      </w:r>
    </w:p>
    <w:p>
      <w:pPr>
        <w:pStyle w:val="TextBody"/>
        <w:bidi w:val="0"/>
        <w:jc w:val="left"/>
        <w:rPr/>
      </w:pPr>
      <w:r>
        <w:rPr/>
        <w:t> </w:t>
      </w:r>
    </w:p>
    <w:tbl>
      <w:tblPr>
        <w:tblW w:w="10162" w:type="dxa"/>
        <w:jc w:val="left"/>
        <w:tblInd w:w="0" w:type="dxa"/>
        <w:tblLayout w:type="fixed"/>
        <w:tblCellMar>
          <w:top w:w="28" w:type="dxa"/>
          <w:left w:w="28" w:type="dxa"/>
          <w:bottom w:w="28" w:type="dxa"/>
          <w:right w:w="28" w:type="dxa"/>
        </w:tblCellMar>
      </w:tblPr>
      <w:tblGrid>
        <w:gridCol w:w="5611"/>
        <w:gridCol w:w="146"/>
        <w:gridCol w:w="211"/>
        <w:gridCol w:w="571"/>
        <w:gridCol w:w="146"/>
        <w:gridCol w:w="146"/>
        <w:gridCol w:w="211"/>
        <w:gridCol w:w="571"/>
        <w:gridCol w:w="146"/>
        <w:gridCol w:w="146"/>
        <w:gridCol w:w="211"/>
        <w:gridCol w:w="676"/>
        <w:gridCol w:w="146"/>
        <w:gridCol w:w="146"/>
        <w:gridCol w:w="211"/>
        <w:gridCol w:w="676"/>
        <w:gridCol w:w="1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advertising, promotional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Weighted average assumptions used to estimate fair values of stock options on the date of grants and shares purchased under the Company's investment share program are as follows:</w:t>
      </w:r>
    </w:p>
    <w:p>
      <w:pPr>
        <w:pStyle w:val="TextBody"/>
        <w:bidi w:val="0"/>
        <w:jc w:val="left"/>
        <w:rPr/>
      </w:pPr>
      <w:r>
        <w:rPr/>
        <w:t> </w:t>
      </w:r>
    </w:p>
    <w:tbl>
      <w:tblPr>
        <w:tblW w:w="4195" w:type="dxa"/>
        <w:jc w:val="left"/>
        <w:tblInd w:w="0" w:type="dxa"/>
        <w:tblLayout w:type="fixed"/>
        <w:tblCellMar>
          <w:top w:w="28" w:type="dxa"/>
          <w:left w:w="28" w:type="dxa"/>
          <w:bottom w:w="28" w:type="dxa"/>
          <w:right w:w="28" w:type="dxa"/>
        </w:tblCellMar>
      </w:tblPr>
      <w:tblGrid>
        <w:gridCol w:w="3121"/>
        <w:gridCol w:w="146"/>
        <w:gridCol w:w="146"/>
        <w:gridCol w:w="466"/>
        <w:gridCol w:w="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post-vesting restrictions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Repurchases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and twenty-six weeks ended June 27, 2026, the Company repurchased and subsequently retired 123,649 and 231,029 shares of its Class A Common Stock, respectively, for an aggregate purchase price of $24.7 million and $48.5 million, respectively. As of June 27, 2026, the Company had repurchased a cumulative total of approximately 16 million shares of its Class A Common Stock for an aggregate purchase price of approximately $1.42 billion and had approximately $180 million remaining on the $1.6 billion stock repurchase expenditure limit set by the Board of Directors.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 Segment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 maker ("CODM"), or decision making group, in deciding how to allocate resources in assessing performance. The Company has one operating segment and one reportable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The Company’s CODM is the chief executive officer.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the summary of significant accounting policies. The CODM assesses performance for the segment based on net income (loss), which is reported on the income statement as consolidated net income (loss). The measure of segment assets is reported on the balance sheet as total consolidated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measures of segment net income (loss) that the CODM considered in determining how to allocate resources and assess segment performance for the thirteen and twenty-six weeks ended June 27, 2026, and June 28,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931"/>
        <w:gridCol w:w="166"/>
        <w:gridCol w:w="146"/>
        <w:gridCol w:w="211"/>
        <w:gridCol w:w="931"/>
        <w:gridCol w:w="41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 2026</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w:t>
              <w:br/>
              <w:t> 2026</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w:t>
              <w:br/>
              <w:t>2025</w:t>
            </w:r>
          </w:p>
        </w:tc>
        <w:tc>
          <w:tcPr>
            <w:tcW w:w="4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4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1,041,816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 (excluding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 (excluding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(reduction)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 Related Party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2019, as part of the merger with Dogfish Head, the Company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for the thirteen weeks ended June 27, 2026 and June 28, 2025 related to the lease was approximate</w:t>
      </w:r>
      <w:r>
        <w:rPr>
          <w:rFonts w:ascii="Times New Roman" w:hAnsi="Times New Roman"/>
          <w:color w:val="030303"/>
          <w:sz w:val="20"/>
        </w:rPr>
        <w:t xml:space="preserve">ly $0.1 million. </w:t>
      </w:r>
      <w:r>
        <w:rPr>
          <w:rFonts w:ascii="Times New Roman" w:hAnsi="Times New Roman"/>
          <w:color w:val="000000"/>
          <w:sz w:val="20"/>
        </w:rPr>
        <w:t>Total related party expense recognized for the twenty-six weeks ended June 27, 2026 and June 28, 2025 related to the lease was approximate</w:t>
      </w:r>
      <w:r>
        <w:rPr>
          <w:rFonts w:ascii="Times New Roman" w:hAnsi="Times New Roman"/>
          <w:color w:val="030303"/>
          <w:sz w:val="20"/>
        </w:rPr>
        <w:t xml:space="preserve">ly $0.2 million. </w:t>
      </w:r>
      <w:r>
        <w:rPr>
          <w:rFonts w:ascii="Times New Roman" w:hAnsi="Times New Roman"/>
          <w:color w:val="000000"/>
          <w:sz w:val="20"/>
        </w:rPr>
        <w:t xml:space="preserve">Additionally, during the thirteen and twenty-six weeks ended June 27, 2026 and June 28, 2025, the Company incurred expenses of less than $0.1 million to various other suppliers affiliated with the Dogfish Head founders.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August 15, 2025, Jim Koch assumed the role of Chief Executive Officer, succeeding Michael Spillane. Prior to this appointment, Mr. Koch served as Brewer, Founder, and Chairman of the Board, during which time in 2025, he did not receive salary, bonus, or equity compensation. Upon assuming the CEO role, Mr. Koch has elected to continue forgoing salary and bonus, and no new equity awards have been granted. He also holds no unvested equity awards that would be subject to expense recognition.</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10" w:name="item_2__managements_discussion_analysis_"/>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discussion of the significant factors affecting the consolidated operating results, financial condition and liquidity and cash flows of the Company for the thirteen and twenty-six week periods ended June 27, 2026, as compared to the thirteen and twenty-six week periods ended June 28, 2025. This discussion should be read in conjunction with the Management’s Discussion and Analysis of Financial Condition and Results of Operations, and the Consolidated Financial Statements of the Company and Notes there to included in the Company’s Annual Report on Form 10-K for the fiscal year ended December 27,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Thirteen Weeks Ended June 27, 2026 compared to Thirteen Weeks Ended June 28, 2025</w:t>
      </w:r>
    </w:p>
    <w:p>
      <w:pPr>
        <w:pStyle w:val="TextBody"/>
        <w:bidi w:val="0"/>
        <w:jc w:val="both"/>
        <w:rPr/>
      </w:pPr>
      <w:r>
        <w:rPr/>
        <w:t> </w:t>
      </w:r>
    </w:p>
    <w:tbl>
      <w:tblPr>
        <w:tblW w:w="12592" w:type="dxa"/>
        <w:jc w:val="left"/>
        <w:tblInd w:w="0" w:type="dxa"/>
        <w:tblLayout w:type="fixed"/>
        <w:tblCellMar>
          <w:top w:w="28" w:type="dxa"/>
          <w:left w:w="28" w:type="dxa"/>
          <w:bottom w:w="28" w:type="dxa"/>
          <w:right w:w="28" w:type="dxa"/>
        </w:tblCellMar>
      </w:tblPr>
      <w:tblGrid>
        <w:gridCol w:w="1111"/>
        <w:gridCol w:w="146"/>
        <w:gridCol w:w="196"/>
        <w:gridCol w:w="691"/>
        <w:gridCol w:w="166"/>
        <w:gridCol w:w="146"/>
        <w:gridCol w:w="196"/>
        <w:gridCol w:w="601"/>
        <w:gridCol w:w="166"/>
        <w:gridCol w:w="146"/>
        <w:gridCol w:w="156"/>
        <w:gridCol w:w="550"/>
        <w:gridCol w:w="256"/>
        <w:gridCol w:w="146"/>
        <w:gridCol w:w="196"/>
        <w:gridCol w:w="691"/>
        <w:gridCol w:w="146"/>
        <w:gridCol w:w="146"/>
        <w:gridCol w:w="196"/>
        <w:gridCol w:w="601"/>
        <w:gridCol w:w="146"/>
        <w:gridCol w:w="146"/>
        <w:gridCol w:w="156"/>
        <w:gridCol w:w="550"/>
        <w:gridCol w:w="256"/>
        <w:gridCol w:w="146"/>
        <w:gridCol w:w="196"/>
        <w:gridCol w:w="661"/>
        <w:gridCol w:w="166"/>
        <w:gridCol w:w="146"/>
        <w:gridCol w:w="192"/>
        <w:gridCol w:w="634"/>
        <w:gridCol w:w="256"/>
        <w:gridCol w:w="146"/>
        <w:gridCol w:w="196"/>
        <w:gridCol w:w="511"/>
        <w:gridCol w:w="166"/>
        <w:gridCol w:w="146"/>
        <w:gridCol w:w="192"/>
        <w:gridCol w:w="634"/>
        <w:gridCol w:w="30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br/>
              <w:t>(in thousands, except per barrel)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Barrels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reduction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w:t>
      </w:r>
      <w:r>
        <w:rPr>
          <w:rFonts w:ascii="Times New Roman" w:hAnsi="Times New Roman"/>
          <w:color w:val="000000"/>
          <w:sz w:val="20"/>
        </w:rPr>
        <w:t xml:space="preserve"> Net revenue decreased by $19.6 million, or 3.3%, to $568.3 million for the thirteen weeks ended June 27, 2026, as compared to $587.9 million for the thirteen weeks ended </w:t>
      </w:r>
      <w:r>
        <w:rPr>
          <w:rFonts w:ascii="Times New Roman" w:hAnsi="Times New Roman"/>
          <w:color w:val="030303"/>
          <w:sz w:val="20"/>
        </w:rPr>
        <w:t>June 28, 2025 primarily due to decreased sales volume impacts of $26.6 million and increased sales incentives of $6.3 million, partially offset by favorable product mix of $8.4 million, and increased pricing of $5.4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 xml:space="preserve">Total shipment volume decreased by 4.5% to 2,047,000 barrels for the thirteen weeks ended June 27, 2026, as compared to 2,144,000 barrels for the thirteen weeks ended June 28, 2025. </w:t>
      </w:r>
      <w:r>
        <w:rPr>
          <w:rFonts w:ascii="Times New Roman" w:hAnsi="Times New Roman"/>
          <w:color w:val="030303"/>
          <w:sz w:val="20"/>
        </w:rPr>
        <w:t>The decrease was primarily driven by decreases in Twisted Tea, Truly, Samuel Adams and Hard Mountain Dew brands that were partially offset by increases in Sun Cruiser and Angry Orchard brands.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believes distributor inventory as of June 27, 2026 was at an appropriate level for each of its brands and averaged approximately four and a half weeks which was consistent with the weeks on hand at the end of June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Net revenue per barrel increased by 1.2% to $277.64 per barrel for the thirteen weeks ended June 27, 2026, as compared to $274.23 per barrel for the comparable period in 2025, primarily due to increased pricing and favorable product mix.</w:t>
      </w:r>
      <w:r>
        <w:rPr>
          <w:rFonts w:ascii="Times New Roman" w:hAnsi="Times New Roman"/>
          <w:color w:val="FF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Cost of goods sold.</w:t>
      </w:r>
      <w:r>
        <w:rPr>
          <w:rFonts w:ascii="Times New Roman" w:hAnsi="Times New Roman"/>
          <w:color w:val="000000"/>
          <w:sz w:val="20"/>
        </w:rPr>
        <w:t xml:space="preserve"> Cost of goods sold was $137.75 per barrel for the thirteen weeks ended June 27, 2026, as compared to $137.79 per barrel for the thirteen week</w:t>
      </w:r>
      <w:r>
        <w:rPr>
          <w:rFonts w:ascii="Times New Roman" w:hAnsi="Times New Roman"/>
          <w:color w:val="030303"/>
          <w:sz w:val="20"/>
        </w:rPr>
        <w:t>s ended June 28, 2025. The 2026 cost of goods sold per barrel was flat to 2025 primarily due to inflationary impacts of $19.2 million, or $9.38 per barrel, offset by brewery efficiencies of $10.9 million, or $5.33 per barrel, contract renegotiations and recipe optimization savings of $5.2 million, or $2.54 per barrel, and decreases in inventory obsolescence of $3.9 million, or $1.91 per barrel.</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Inflationary impacts of $19.2 million consist primarily of increased material costs, mainly from aluminum, of $18.2 million, inclusive of $2.9 million impact from tariffs, and increased internal brewery costs of $1.0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$139.89 per barrel for the thirteen weeks ended June 27, 2026, as compared to $136.44 per barrel for the thirteen weeks ended June 28,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includes freight charges related to the movement of finished goods from its manufacturing locations to distributor locations in its advertising, promotional and selling expense line item. As such, the Company’s gross margins may not be comparable to those of other entities that classify costs related to distribution differently.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 xml:space="preserve">Advertising, promotional and selling expenses increased by $26.2 million, or 16.4%, to $185.9 million for the thirteen weeks ended June 27, 2026, as compared to $159.7 million for the thirteen weeks ended June 28, 2025 resulting from higher increased brand local marketing and point of sale investments of $17.5 million and higher freight costs of $8.6 million due to higher rates.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Advertising, promotional and selling expenses were 32.7% of net revenue, or $90.81 per barrel, for the thirteen weeks ended June 27, 2026, as compared to 27.2% of net revenue, or $74.49 per barrel, for the thirteen weeks ended June 28, 20</w:t>
      </w:r>
      <w:r>
        <w:rPr>
          <w:rFonts w:ascii="Times New Roman" w:hAnsi="Times New Roman"/>
          <w:color w:val="030303"/>
          <w:sz w:val="20"/>
        </w:rPr>
        <w:t>25. This increase per barrel is primarily due to increased spend in local marketing and freight rates. The Company invests in advertising and promotional campaigns that it believes will be effective, but there is no guarantee that such investments will generate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conducts certain advertising and promotional activities in its distributors’ markets, and the distributors make contributions to the Company for such efforts. These amounts are included in the Company’s condensed consolidated statements of comprehensive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industry and market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$3.1 million, or 6.8%, to $48.9 million for the thirteen weeks ended June 27, 2026, as compared to $45.8 million for the thirteen weeks ended Ju</w:t>
      </w:r>
      <w:r>
        <w:rPr>
          <w:rFonts w:ascii="Times New Roman" w:hAnsi="Times New Roman"/>
          <w:color w:val="030303"/>
          <w:sz w:val="20"/>
        </w:rPr>
        <w:t xml:space="preserve">ne 28, 2025, primarily due to increases in salaries and benefits costs of $1.2 million, and increases in legal fees of $1.1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Impairment of brewery assets. </w:t>
      </w:r>
      <w:r>
        <w:rPr>
          <w:rFonts w:ascii="Times New Roman" w:hAnsi="Times New Roman"/>
          <w:color w:val="000000"/>
          <w:sz w:val="20"/>
        </w:rPr>
        <w:t>Impairment of brewery assets of $0.2 million decreased by $4.8 million from 2025, due to decreased write-offs of equipment at third-party and Company-owned breweries.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Litigation reduction. </w:t>
      </w:r>
      <w:r>
        <w:rPr>
          <w:rFonts w:ascii="Times New Roman" w:hAnsi="Times New Roman"/>
          <w:color w:val="000000"/>
          <w:sz w:val="20"/>
        </w:rPr>
        <w:t xml:space="preserve">For the thirteen weeks ended June 27, 2026, the Company recorded non-recurring pre-tax litigation reduction of $19.4 million, related to the supplier dispute, consisting of a favorable adjustment to pre-judgement interest of $21.0 million and post-judgement interest expense of $1.7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thirteen weeks ended June 27, 2026, the combined pre-tax income related to the supplier dispute litigation of $18.0 million consists of legal expenses of $1.4 million, recorded in general and administrative expenses, and litigation reduction of $19.4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provision.</w:t>
      </w:r>
      <w:r>
        <w:rPr>
          <w:rFonts w:ascii="Times New Roman" w:hAnsi="Times New Roman"/>
          <w:color w:val="000000"/>
          <w:sz w:val="20"/>
        </w:rPr>
        <w:t xml:space="preserve"> The Company's effective tax rate was a provision of 28.7%, an increase from 28.1% in the prior year. This increase in rate is due primarily to the increased negative impact of non-deductible stock compensation.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Twenty-six Weeks Ended June 27, 2026 compared to Twenty-six Weeks Ended June 28, 2025</w:t>
      </w:r>
    </w:p>
    <w:p>
      <w:pPr>
        <w:pStyle w:val="TextBody"/>
        <w:bidi w:val="0"/>
        <w:jc w:val="both"/>
        <w:rPr/>
      </w:pPr>
      <w:r>
        <w:rPr/>
        <w:t> </w:t>
      </w:r>
    </w:p>
    <w:tbl>
      <w:tblPr>
        <w:tblW w:w="13012" w:type="dxa"/>
        <w:jc w:val="left"/>
        <w:tblInd w:w="0" w:type="dxa"/>
        <w:tblLayout w:type="fixed"/>
        <w:tblCellMar>
          <w:top w:w="28" w:type="dxa"/>
          <w:left w:w="28" w:type="dxa"/>
          <w:bottom w:w="28" w:type="dxa"/>
          <w:right w:w="28" w:type="dxa"/>
        </w:tblCellMar>
      </w:tblPr>
      <w:tblGrid>
        <w:gridCol w:w="1111"/>
        <w:gridCol w:w="146"/>
        <w:gridCol w:w="196"/>
        <w:gridCol w:w="826"/>
        <w:gridCol w:w="166"/>
        <w:gridCol w:w="146"/>
        <w:gridCol w:w="196"/>
        <w:gridCol w:w="601"/>
        <w:gridCol w:w="166"/>
        <w:gridCol w:w="146"/>
        <w:gridCol w:w="156"/>
        <w:gridCol w:w="550"/>
        <w:gridCol w:w="256"/>
        <w:gridCol w:w="146"/>
        <w:gridCol w:w="196"/>
        <w:gridCol w:w="826"/>
        <w:gridCol w:w="146"/>
        <w:gridCol w:w="146"/>
        <w:gridCol w:w="196"/>
        <w:gridCol w:w="601"/>
        <w:gridCol w:w="146"/>
        <w:gridCol w:w="146"/>
        <w:gridCol w:w="156"/>
        <w:gridCol w:w="550"/>
        <w:gridCol w:w="256"/>
        <w:gridCol w:w="146"/>
        <w:gridCol w:w="196"/>
        <w:gridCol w:w="751"/>
        <w:gridCol w:w="166"/>
        <w:gridCol w:w="146"/>
        <w:gridCol w:w="168"/>
        <w:gridCol w:w="658"/>
        <w:gridCol w:w="256"/>
        <w:gridCol w:w="146"/>
        <w:gridCol w:w="196"/>
        <w:gridCol w:w="571"/>
        <w:gridCol w:w="166"/>
        <w:gridCol w:w="146"/>
        <w:gridCol w:w="168"/>
        <w:gridCol w:w="658"/>
        <w:gridCol w:w="30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Twenty-Six Weeks Ended</w:t>
              <w:br/>
              <w:t>(in thousands, except per barrel)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27,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Barrels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 (benefit)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w:t>
      </w:r>
      <w:r>
        <w:rPr>
          <w:rFonts w:ascii="Times New Roman" w:hAnsi="Times New Roman"/>
          <w:color w:val="000000"/>
          <w:sz w:val="20"/>
        </w:rPr>
        <w:t xml:space="preserve"> Net revenue decreased by $39.5 million, or 3.8%, to $1.002 billion for the twenty-six weeks ended June 27, 2026, as compared to $1.042 billion for the twenty-six weeks ended June 28, 2</w:t>
      </w:r>
      <w:r>
        <w:rPr>
          <w:rFonts w:ascii="Times New Roman" w:hAnsi="Times New Roman"/>
          <w:color w:val="030303"/>
          <w:sz w:val="20"/>
        </w:rPr>
        <w:t xml:space="preserve">025, primarily due to decreased sales volume impacts of $58.1 million and increased sales incentives of $5.5 million, partially offset by increased pricing of $14.2 million and favorable product mix of $9.7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Total shipment v</w:t>
      </w:r>
      <w:r>
        <w:rPr>
          <w:rFonts w:ascii="Times New Roman" w:hAnsi="Times New Roman"/>
          <w:color w:val="030303"/>
          <w:sz w:val="20"/>
        </w:rPr>
        <w:t>olume decreased by 5.6% to 3,607,000 barrels for the twenty-six weeks ended June 27, 2026, as compared to 3,820,000 barrels for the twenty-six weeks ended June 28, 2025, primarily due to decreases in Twisted Tea, Truly, Samuel Adams, Hard Mountain Dew and Dogfish Head brands that were partially offset by increases in Sun Cruiser and Angry Orchard brands.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Net revenue per barrel increased by 1.9% to $277.87 per barrel for the twenty-six weeks ended June 27, 2026, as compared to $272.73 per barrel for the comparable period in 202</w:t>
      </w:r>
      <w:r>
        <w:rPr>
          <w:rFonts w:ascii="Times New Roman" w:hAnsi="Times New Roman"/>
          <w:color w:val="030303"/>
          <w:sz w:val="20"/>
        </w:rPr>
        <w:t xml:space="preserve">5, primarily due to pricing and favorable product mix.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Cost of goods sold. </w:t>
      </w:r>
      <w:r>
        <w:rPr>
          <w:rFonts w:ascii="Times New Roman" w:hAnsi="Times New Roman"/>
          <w:color w:val="000000"/>
          <w:sz w:val="20"/>
        </w:rPr>
        <w:t xml:space="preserve">Cost of goods sold was $139.16 per barrel for the twenty-six weeks ended June 27, 2026, as compared to $138.75 per barrel for the twenty-six weeks ended June </w:t>
      </w:r>
      <w:r>
        <w:rPr>
          <w:rFonts w:ascii="Times New Roman" w:hAnsi="Times New Roman"/>
          <w:color w:val="030303"/>
          <w:sz w:val="20"/>
        </w:rPr>
        <w:t>28, 2025. The 2026 increase in cost of goods sold of $0.41, or 0.3% per barrel was primarily due to inflationary impacts of $31.7 million, or $8.79 per barrel, partially offset by brewery efficiencies of $11.1 million, or $3.08 per barrel, contract renegotiations and recipe optimization savings of $10.7 million, or $2.97 per barrel, decreases in inventory obsolescence of $4.8 million, or $1.33 per barrel, and lower third-party production payment amortization of $4.0 million, or $1.11 per barrel.</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Inflationary impacts of $31.7 million consist primarily of increased material costs, mainly from aluminum, of $29.2 million, inclusive of $9.8 million impact from tariffs, and increased internal brewery costs of $2.5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$138.71 per barrel for the twenty-six weeks ended June 27, 2026, as compared to $133.98 per barrel for the twenty-six weeks ended June 28,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 xml:space="preserve">Advertising, promotional and selling expenses increased by $28.7 million, or 9.7%, to $326.0 million for the twenty-six weeks ended June 27, 2026, as compared to $297.2 million for twenty-six weeks ended June 28,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20</w:t>
      </w:r>
      <w:r>
        <w:rPr>
          <w:rFonts w:ascii="Times New Roman" w:hAnsi="Times New Roman"/>
          <w:color w:val="030303"/>
          <w:sz w:val="20"/>
        </w:rPr>
        <w:t>25. Brand and selling costs increased by $17.6 million primarily due to increased brand local marketing investments. Freight to distributors increased by $11.1 million primarily due to higher rates partially offset by lower volumes.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Advertising, promotional and selling expenses were 32.5% of net revenue, or $90.37 per barrel, for the twenty-six weeks ended June 27, 2026, as compared to 28.5% of net revenue, or $77.81 per barrel, for the twenty-six weeks ended June 28, 2025. This increase per barrel is primarily due to increased spend in local marketing and freight rates. The Company invests in advertising and promotional campaigns that it believes will be effective, but there is no guarantee that such investments will generate sales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$7.5 million, or 8.0%, to $101.2 million for the twenty-six weeks ended June 27, 2026, as compared to $93.7 million for the twenty-six weeks ended June 28, 202</w:t>
      </w:r>
      <w:r>
        <w:rPr>
          <w:rFonts w:ascii="Times New Roman" w:hAnsi="Times New Roman"/>
          <w:color w:val="030303"/>
          <w:sz w:val="20"/>
        </w:rPr>
        <w:t>5, primarily due to increases in legal fees of $4.2 million, increases in insurance and regulatory compliance costs of $1.5 million, and increases in salaries and benefits costs of $1.1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Impairment of brewery assets. </w:t>
      </w:r>
      <w:r>
        <w:rPr>
          <w:rFonts w:ascii="Times New Roman" w:hAnsi="Times New Roman"/>
          <w:color w:val="000000"/>
          <w:sz w:val="20"/>
        </w:rPr>
        <w:t>Impairment of brewery assets of</w:t>
      </w:r>
      <w:r>
        <w:rPr>
          <w:rFonts w:ascii="Times New Roman" w:hAnsi="Times New Roman"/>
          <w:color w:val="FF0000"/>
          <w:sz w:val="20"/>
        </w:rPr>
        <w:t xml:space="preserve"> </w:t>
      </w:r>
      <w:r>
        <w:rPr>
          <w:rFonts w:ascii="Times New Roman" w:hAnsi="Times New Roman"/>
          <w:color w:val="000000"/>
          <w:sz w:val="20"/>
        </w:rPr>
        <w:t>$0.2 million decreased by $4.7 million from 2025, due to decreased write-offs of equipment at third party and Company-owned breweries.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Litigation expense. </w:t>
      </w:r>
      <w:r>
        <w:rPr>
          <w:rFonts w:ascii="Times New Roman" w:hAnsi="Times New Roman"/>
          <w:color w:val="000000"/>
          <w:sz w:val="20"/>
        </w:rPr>
        <w:t xml:space="preserve">For the twenty-six weeks ended June, 27, 2026, the Company recorded non-recurring pre-tax litigation expense of $192.6 million, related to the supplier dispute, consists of the judgement of $175.5 million, pre-judgement interest of $15.5 million and post-judgement interest expense of $1.7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twenty-six weeks ended June 27, 2026, the combined pre-tax expense related to the supplier dispute litigation of $198.0 million consists of legal expenses of $5.4 million, recorded in general and administrative expenses, and litigation expense of $192.6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(benefit) provision.</w:t>
      </w:r>
      <w:r>
        <w:rPr>
          <w:rFonts w:ascii="Times New Roman" w:hAnsi="Times New Roman"/>
          <w:color w:val="000000"/>
          <w:sz w:val="20"/>
        </w:rPr>
        <w:t xml:space="preserve"> The Company’s effective tax rate of 19.7% decreased from 29.2% in the prior year. The decrease is primarily due to a pre-tax loss in 2026 compared to pre-tax income in 2025 and the change in impact of non-deductible expenses.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stock repurchases, and investment in the Company’s business through capital expenditures.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increased to $265.5 million as of June 27, 2026 from $223.4 million as of December 27, 2025, primarily reflecting cash provided by operating activities and partially offset by the repurchase of the Company's A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provided by operating activities consists of net (loss) income, adjusted for certain non-cash items, such as depreciation and amortization, stock-based compensation expense, litigation expense and other non-cash adjustments included in operating results, and changes in operating assets and liabilities, such as accounts receivable, inventory, accounts payable, and accrued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30303"/>
          <w:sz w:val="20"/>
        </w:rPr>
        <w:t>Cash provided by operating activities for the twenty-six weeks ended June 27, 2026 reflected $208.6 million of non-cash adjustments and $2.6 million of net cash inflows from changes in operating assets and liabilities, partially offset by a net loss of $93.7 million. The non</w:t>
        <w:noBreakHyphen/>
        <w:t xml:space="preserve">cash adjustments primarily consisted of $192.6 million of litigation expense. Cash </w:t>
      </w:r>
      <w:r>
        <w:rPr>
          <w:rFonts w:ascii="Times New Roman" w:hAnsi="Times New Roman"/>
          <w:color w:val="000000"/>
          <w:sz w:val="20"/>
        </w:rPr>
        <w:t>provided by operating activities for the twenty-six weeks ended June 28, 2025 reflected a net income of $84.8 million, non-cash adjustments of $42.1 million, and net cash inflows of $1.5 million for changes in operating assets and liabilities. The decrease in cash provided by operating activities for the twenty-six weeks ended June 27, 2026 compared to the twenty-six weeks ended June 28, 2025 was primarily attributable to lower operating cash flow generation resulting from lower earnings, net of non-cash adjustments, in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$22.8 million in investing activities during the twenty-six weeks ended June 27, 2026, as compared to $24.1 million during the twenty-six weeks ended June 28, 2025. The decrease in investing activity cash outflows is due to lower investment in the breweries during the current year. For both periods, capital investments were made primarily in company-owned and third-party production facilities to drive efficiencies, cost reductions, support product innovation and enable potential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financing activities was $52.6 million during the twenty-six weeks ended June 27, 2026, as compared to $103.7 million during the twenty-six weeks ended June 28, 2025. The financing activity cash outflows in 2026 and 2025 comprised mostly of the repurchases of the Company's Class A common stock in the period.</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During the period from December 28, 2025 through July 17, 2026, the Company repurchased and subsequently retired 262,665 shares of its Class A Common Stock for an aggregate purchase price of $54.1 million. As of July 17, 2026, the Company had repurchased a cumulative total of approximately 16.0 million shares of its Class A Common Stock for an aggregate purchase price of approximately $1.43 billion and had approximately $174 million remaining on the $1.6 billion stock repurchase expenditure limit set by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its cash balance as of June 27, 2026 of $265.5 million, along with its projected future operating cash flow and its unused line of credit balance of $150.0 million, will be sufficient to fund future cash requirements, including the potential litigation-related payments. The Company’s $150.0 million credit facility has a term not scheduled to expire until December 16, 2027. As of the date of this filing, the Company was not in violation of any of its covenants to the lender under the credit facility.</w:t>
      </w:r>
    </w:p>
    <w:p>
      <w:pPr>
        <w:pStyle w:val="Heading2"/>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material changes to the Company’s critical accounting policies during the thirteen and twenty-six weeks ended June 27,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CONDITIONS AND TRENDS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Based on the information currently available and tariff programs announced by the U.S. government, the Company estimates tariffs will have an unfavorable cost impact for the full year 2026 of approximately $20 million to $30 million. Total tariff costs for the twenty-six weeks ended June 27, 202</w:t>
      </w:r>
      <w:r>
        <w:rPr>
          <w:rFonts w:ascii="Times New Roman" w:hAnsi="Times New Roman"/>
          <w:color w:val="030303"/>
          <w:sz w:val="20"/>
        </w:rPr>
        <w:t>6 were $12.1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bookmarkStart w:id="11" w:name="mda_end"/>
      <w:bookmarkEnd w:id="11"/>
      <w:r>
        <w:rPr>
          <w:rFonts w:ascii="Times New Roman" w:hAnsi="Times New Roman"/>
          <w:color w:val="000000"/>
          <w:sz w:val="20"/>
        </w:rPr>
        <w:t>In this Quarterly Report on Form 10-Q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subsequent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below in addition to the other information set forth in this Quarterly Report on Form 10-Q and in the section titled “Risk Factors” in the Company’s Annual Report on Form 10-K for the year ended December 27,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December 27, 2025, there have been no significant changes in the Company’s exposures to interest rate or foreign currency rate fluctuations. The Company currently does not enter into derivatives or other market risk sensitive instruments for the purpose of hedging or for trading purposes. </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27, 2026, the Company conducted an evaluation under the supervision and with the participation of the Company’s management, including the Company’s Chief Executive Officer and Chief Financial Officer (its principal executive officer and principal financial officer, respectively) regarding the effectiveness of the design and operation of the Company’s disclosure controls and procedures as defined in Rule 13a-15(e) and 15d-15(e) of the Securities Exchange Act of 1934 (the “Exchange Act”). Based upon that evaluation, the Chief Executive Officer and Chief Financial Officer concluded that the Company’s disclosure controls and procedures (as defined in Exchange Act Rules 13a-15(e) and 15d-15(e)) were effective as of June 27, 2026 to ensure that information required to be disclosed by the Company in reports that it files or submits under the Exchange Act is recorded, processed, summarized and reported within the requisite time periods and that such disclosure controls and procedures were effective to ensure that information required to be disclosed by the Company in the reports that it files or submits under the Exchange Act is accumulated and communicated to its management, including its principal executive and principal financial officers, or persons performing similar functions, as appropriate to allow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Company’s internal control over financial reporting that occurred during the thirteen weeks ended June 27, 2026 that has materially affected, or is reasonably likely to materially affect, the Company’s internal control over financial reporting.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bookmarkStart w:id="14" w:name="other_information"/>
      <w:bookmarkEnd w:id="14"/>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regarding the Company's legal proceedings, refer to Note I of the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report, careful consideration should be given to the factors discussed in Part I, "Item 1A. Risk Factors" in the Company’s Annual Report on Form 10-K for the year ended December 27, 2025,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 There has been no material change in the risk factors described in the Company’s Annual Report on Form 10-K for the year ended December 27,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Company's Board of Directors ("the Board") authorized the Company's share buyback program. In October 2024, the Board authorized an increase in the share buyback expenditure limit set for the program from $1.2 billion to $1.6 billion. The Board did not specify a date upon which the authorization would expire. Share repurchases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w:t>
      </w:r>
      <w:r>
        <w:rPr>
          <w:rFonts w:ascii="Times New Roman" w:hAnsi="Times New Roman"/>
          <w:color w:val="030303"/>
          <w:sz w:val="20"/>
        </w:rPr>
        <w:t>s of July 17, 2026, the Company had repurchased a cumulative total of approximately 16.0 million shares of its Class A Common Stock for an aggregate purchase price of $1.43 billion and had $174 million remaining on the $1.6 billion share buyback expenditure limit set by the Board.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During the twenty-six weeks ended June 27, 2026, the Company repurchase</w:t>
      </w:r>
      <w:r>
        <w:rPr>
          <w:rFonts w:ascii="Times New Roman" w:hAnsi="Times New Roman"/>
          <w:color w:val="030303"/>
          <w:sz w:val="20"/>
        </w:rPr>
        <w:t>d and subsequently retired 231,733 shares of its Class A Common Stock, including 704 unvested investment shares issued under the Investment Share Program of the Company’s Employee Equity Incentive Plan, as illustrated in the table below:</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2896"/>
        <w:gridCol w:w="146"/>
        <w:gridCol w:w="264"/>
        <w:gridCol w:w="1251"/>
        <w:gridCol w:w="146"/>
        <w:gridCol w:w="146"/>
        <w:gridCol w:w="302"/>
        <w:gridCol w:w="928"/>
        <w:gridCol w:w="146"/>
        <w:gridCol w:w="146"/>
        <w:gridCol w:w="264"/>
        <w:gridCol w:w="1251"/>
        <w:gridCol w:w="146"/>
        <w:gridCol w:w="146"/>
        <w:gridCol w:w="311"/>
        <w:gridCol w:w="1099"/>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 as Part of</w:t>
              <w:br/>
              <w:t>Publicly Announced</w:t>
              <w:b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Approximate Dollar</w:t>
              <w:br/>
              <w:t>Value of Shares that</w:t>
              <w:br/>
              <w:t>May Yet be Purchased</w:t>
              <w:br/>
              <w:t>Under the Plans</w:t>
              <w:br/>
              <w:t>or Programs</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28, 2025 -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 2026 -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29, 2026 -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3, 2026 - May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31, 2026 - June 27,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As of July 17 2026, the Company had 8.2 million shares of Class A Common Stock outstanding and 2.1 million shares of Class B Common Stock outstanding.</w:t>
      </w:r>
    </w:p>
    <w:p>
      <w:pPr>
        <w:pStyle w:val="TextBody"/>
        <w:bidi w:val="0"/>
        <w:jc w:val="left"/>
        <w:rPr/>
      </w:pPr>
      <w:r>
        <w:rPr/>
        <w:t> </w:t>
      </w:r>
    </w:p>
    <w:p>
      <w:pPr>
        <w:pStyle w:val="TextBody"/>
        <w:bidi w:val="0"/>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jc w:val="left"/>
        <w:rPr/>
      </w:pPr>
      <w:r>
        <w:rPr/>
        <w:t> </w:t>
      </w:r>
    </w:p>
    <w:p>
      <w:pPr>
        <w:pStyle w:val="TextBody"/>
        <w:bidi w:val="0"/>
        <w:jc w:val="left"/>
        <w:rPr>
          <w:rFonts w:ascii="Times New Roman" w:hAnsi="Times New Roman"/>
          <w:color w:val="030303"/>
          <w:sz w:val="20"/>
        </w:rPr>
      </w:pPr>
      <w:r>
        <w:rPr>
          <w:rFonts w:ascii="Times New Roman" w:hAnsi="Times New Roman"/>
          <w:color w:val="030303"/>
          <w:sz w:val="20"/>
        </w:rPr>
        <w:t>No trading plans were adopted or terminated during the thirteen weeks ended June 27, 2026 by an executive officer or director that is intended to satisfy the affirmative defense conditions of Securities Exchange Act Rule 10b5-1(c) or a non-Rule 10b5-1(c) trading arrangement.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1"/>
        <w:gridCol w:w="146"/>
        <w:gridCol w:w="9158"/>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By-Laws of the Company, dated June 2, 1998 (incorporated by reference to Exhibit 3.5 to the Company’s Form 10-Q filed on August 10, 1998).</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3.2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Articles of Organization of the Company, dated November 17, 1995, as amended August 4, 1998 (incorporated by reference to Exhibit 3.6 to the Company’s Form 10-Q filed on August 10, 1998).</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 Rights Agreement, dated as of December, 1995, between The Boston Beer Company, Inc. and the initial Stockholders (incorporated by reference to the Company's Form 10-K, filed on April 1, 1996). (P)</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Offer Letter to Diego Reynoso, Chief Financial Officer, dated July 21, 2023 (incorporated by reference to exhibit 10.1 to a Current Report on Form 8-K filed by the Company on July 24, 2023)</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to Michael Spillane, Chief Executive Officer dated February 23, 2024 (incorporated by reference to Exhibit 10.2 of the Company's Current Report on Form 8-K filed on February 24, 2024.)</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jc w:val="left"/>
              <w:rPr/>
            </w:pPr>
            <w:hyperlink r:id="rId6">
              <w:r>
                <w:rPr>
                  <w:rStyle w:val="InternetLink"/>
                  <w:rFonts w:ascii="Times New Roman" w:hAnsi="Times New Roman"/>
                  <w:color w:val="0000FF"/>
                  <w:sz w:val="20"/>
                  <w:u w:val="single"/>
                </w:rPr>
                <w:t>Offer Letter to Michael R. Crowley, Chief Sales Officer, dated August 15, 2023 (incorporated by reference to Exhibit 10.18 to the Company's Annual Report on Form 10-K dated February 25, 2025).</w:t>
              </w:r>
            </w:hyperlink>
          </w:p>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Offer Letter to Tara Heath, Chief Legal Officer, General Counsel, dated August 8, 2022 (incorporated by reference to Exhibit 10.17 to the Company's Annual Report on Form 10-K dated February 24, 2026)</w:t>
              </w:r>
            </w:hyperlink>
            <w:hyperlink r:id="rId8">
              <w:r>
                <w:rPr>
                  <w:rStyle w:val="InternetLink"/>
                  <w:rFonts w:ascii="Times New Roman" w:hAnsi="Times New Roman"/>
                  <w:color w:val="0000FF"/>
                  <w:sz w:val="20"/>
                </w:rPr>
                <w:t xml:space="preserve"> </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Transition Agreement governing Mr. Spillane's ongoing relationship with the Company, dated August 1, 2025 (incorporated by reference as Exhibit 10.1 of the Company's Current Report on Form 8-K filed on August 1, 2025.)</w:t>
              </w:r>
            </w:hyperlink>
            <w:r>
              <w:rPr>
                <w:rFonts w:ascii="Times New Roman" w:hAnsi="Times New Roman"/>
                <w:color w:val="000000"/>
                <w:sz w:val="20"/>
              </w:rPr>
              <w:t xml:space="preserve"> </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Offer Letter to Philip A. Hodges, Chief Operating Officer dated October 20, 2025 (incorporated by reference to Exhibit 10.1 of the Company's Current Report on Form 8-K/A filed on October 22, 2025).</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1_1.htm">
              <w:r>
                <w:rPr>
                  <w:rStyle w:val="InternetLink"/>
                  <w:rFonts w:ascii="Times New Roman" w:hAnsi="Times New Roman"/>
                  <w:color w:val="0000FF"/>
                  <w:sz w:val="20"/>
                  <w:u w:val="single"/>
                </w:rPr>
                <w:t>Certification of the President and Chief Executive Officer pursuant to Rule 13a-14(a) under the Securities Exchange Act of 1934, as adopted pursuant to Section 302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1_2.htm">
              <w:r>
                <w:rPr>
                  <w:rStyle w:val="InternetLink"/>
                  <w:rFonts w:ascii="Times New Roman" w:hAnsi="Times New Roman"/>
                  <w:color w:val="0000FF"/>
                  <w:sz w:val="20"/>
                  <w:u w:val="single"/>
                </w:rPr>
                <w:t>Certification of the Chief Financial Officer pursuant to Rule 13a-14(a) under the Securities Exchange Act of 1934, as adopted pursuant to Section 302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2_1.htm">
              <w:r>
                <w:rPr>
                  <w:rStyle w:val="InternetLink"/>
                  <w:rFonts w:ascii="Times New Roman" w:hAnsi="Times New Roman"/>
                  <w:color w:val="0000FF"/>
                  <w:sz w:val="20"/>
                  <w:u w:val="single"/>
                </w:rPr>
                <w:t>Certification of the President and Chief Executive Officer pursuant to 18 U.S.C. Section 1350, as adopted pursuant to Section 906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with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Form 10-Q to be signed on its behalf by the undersigned thereunto duly authorized.</w:t>
      </w:r>
    </w:p>
    <w:p>
      <w:pPr>
        <w:pStyle w:val="TextBody"/>
        <w:bidi w:val="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BOSTON BEER COMPANY, INC</w:t>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bl>
    <w:p>
      <w:pPr>
        <w:pStyle w:val="TextBody"/>
        <w:bidi w:val="0"/>
        <w:jc w:val="left"/>
        <w:rPr/>
      </w:pPr>
      <w:r>
        <w:rPr/>
        <w:t> </w:t>
      </w:r>
    </w:p>
    <w:tbl>
      <w:tblPr>
        <w:tblW w:w="5852" w:type="dxa"/>
        <w:jc w:val="left"/>
        <w:tblInd w:w="0" w:type="dxa"/>
        <w:tblLayout w:type="fixed"/>
        <w:tblCellMar>
          <w:top w:w="28" w:type="dxa"/>
          <w:left w:w="28" w:type="dxa"/>
          <w:bottom w:w="28" w:type="dxa"/>
          <w:right w:w="28" w:type="dxa"/>
        </w:tblCellMar>
      </w:tblPr>
      <w:tblGrid>
        <w:gridCol w:w="1711"/>
        <w:gridCol w:w="4141"/>
      </w:tblGrid>
      <w:tr>
        <w:trPr/>
        <w:tc>
          <w:tcPr>
            <w:tcW w:w="171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23, 2026</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C. James Koch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James Koch</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President and Chief Executive Officer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127" w:type="dxa"/>
        <w:jc w:val="left"/>
        <w:tblInd w:w="0" w:type="dxa"/>
        <w:tblLayout w:type="fixed"/>
        <w:tblCellMar>
          <w:top w:w="28" w:type="dxa"/>
          <w:left w:w="28" w:type="dxa"/>
          <w:bottom w:w="28" w:type="dxa"/>
          <w:right w:w="28" w:type="dxa"/>
        </w:tblCellMar>
      </w:tblPr>
      <w:tblGrid>
        <w:gridCol w:w="1711"/>
        <w:gridCol w:w="2416"/>
      </w:tblGrid>
      <w:tr>
        <w:trPr/>
        <w:tc>
          <w:tcPr>
            <w:tcW w:w="171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23, 2026</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Diego Reynoso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Diego Reynoso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3" w:name="sam-ex31_1.htm"/>
      <w:bookmarkStart w:id="24" w:name="kssamex31_1"/>
      <w:bookmarkEnd w:id="23"/>
      <w:bookmarkEnd w:id="24"/>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C. James Koch,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 James Koch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C.James Koch </w:t>
      </w:r>
    </w:p>
    <w:p>
      <w:pPr>
        <w:pStyle w:val="TextBody"/>
        <w:bidi w:val="0"/>
        <w:jc w:val="left"/>
        <w:rPr>
          <w:rFonts w:ascii="Times New Roman" w:hAnsi="Times New Roman"/>
          <w:color w:val="000000"/>
          <w:sz w:val="20"/>
        </w:rPr>
      </w:pPr>
      <w:r>
        <w:rPr>
          <w:rFonts w:ascii="Times New Roman" w:hAnsi="Times New Roman"/>
          <w:color w:val="000000"/>
          <w:sz w:val="20"/>
        </w:rPr>
        <w:t>Chairman, President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am-ex31_2.htm"/>
      <w:bookmarkStart w:id="26" w:name="kssamex31_2"/>
      <w:bookmarkEnd w:id="25"/>
      <w:bookmarkEnd w:id="26"/>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Diego Reynoso,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Diego Reynoso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Diego Reynoso</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am-ex32_1.htm"/>
      <w:bookmarkStart w:id="28" w:name="kssamex32_1"/>
      <w:bookmarkEnd w:id="27"/>
      <w:bookmarkEnd w:id="28"/>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June 27, 2026 as filed with the Securities and Exchange Commission (the "Report"), I, C. James Koch,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 James Koch </w:t>
      </w:r>
    </w:p>
    <w:p>
      <w:pPr>
        <w:pStyle w:val="TextBody"/>
        <w:bidi w:val="0"/>
        <w:jc w:val="left"/>
        <w:rPr>
          <w:rFonts w:ascii="Times New Roman" w:hAnsi="Times New Roman"/>
          <w:color w:val="000000"/>
          <w:sz w:val="20"/>
        </w:rPr>
      </w:pPr>
      <w:r>
        <w:rPr>
          <w:rFonts w:ascii="Times New Roman" w:hAnsi="Times New Roman"/>
          <w:color w:val="000000"/>
          <w:sz w:val="20"/>
        </w:rPr>
        <w:t xml:space="preserve">C. James Koch </w:t>
      </w:r>
    </w:p>
    <w:p>
      <w:pPr>
        <w:pStyle w:val="TextBody"/>
        <w:bidi w:val="0"/>
        <w:jc w:val="left"/>
        <w:rPr>
          <w:rFonts w:ascii="Times New Roman" w:hAnsi="Times New Roman"/>
          <w:color w:val="000000"/>
          <w:sz w:val="20"/>
        </w:rPr>
      </w:pPr>
      <w:r>
        <w:rPr>
          <w:rFonts w:ascii="Times New Roman" w:hAnsi="Times New Roman"/>
          <w:color w:val="000000"/>
          <w:sz w:val="20"/>
        </w:rPr>
        <w:t>Chairman, President and Chief Executive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am-ex32_2.htm"/>
      <w:bookmarkStart w:id="30" w:name="kssamex32_2"/>
      <w:bookmarkEnd w:id="29"/>
      <w:bookmarkEnd w:id="30"/>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June 27, 2026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23,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Diego Reynoso</w:t>
      </w:r>
    </w:p>
    <w:p>
      <w:pPr>
        <w:pStyle w:val="TextBody"/>
        <w:bidi w:val="0"/>
        <w:jc w:val="left"/>
        <w:rPr>
          <w:rFonts w:ascii="Times New Roman" w:hAnsi="Times New Roman"/>
          <w:color w:val="000000"/>
          <w:sz w:val="20"/>
        </w:rPr>
      </w:pPr>
      <w:r>
        <w:rPr>
          <w:rFonts w:ascii="Times New Roman" w:hAnsi="Times New Roman"/>
          <w:color w:val="000000"/>
          <w:sz w:val="20"/>
        </w:rPr>
        <w:t>Diego Reynoso</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49870/0000927016-98-002984.txt" TargetMode="External"/><Relationship Id="rId3" Type="http://schemas.openxmlformats.org/officeDocument/2006/relationships/hyperlink" Target="https://www.sec.gov/Archives/edgar/data/949870/0000927016-98-002984.txt" TargetMode="External"/><Relationship Id="rId4" Type="http://schemas.openxmlformats.org/officeDocument/2006/relationships/hyperlink" Target="https://www.sec.gov/Archives/edgar/data/949870/000095017023034065/sam-ex10_1.htm" TargetMode="External"/><Relationship Id="rId5" Type="http://schemas.openxmlformats.org/officeDocument/2006/relationships/hyperlink" Target="https://www.sec.gov/ix?doc=/Archives/edgar/data/0000949870/000095017024021172/sam-20240223.htm" TargetMode="External"/><Relationship Id="rId6" Type="http://schemas.openxmlformats.org/officeDocument/2006/relationships/hyperlink" Target="https://www.sec.gov/Archives/edgar/data/949870/000095017025026756/sam-ex10_18.htm" TargetMode="External"/><Relationship Id="rId7" Type="http://schemas.openxmlformats.org/officeDocument/2006/relationships/hyperlink" Target="https://www.sec.gov/Archives/edgar/data/949870/000119312526067467/sam-ex10_17.htm" TargetMode="External"/><Relationship Id="rId8" Type="http://schemas.openxmlformats.org/officeDocument/2006/relationships/hyperlink" Target="https://www.sec.gov/Archives/edgar/data/949870/000119312526067467/sam-ex10_17.htm" TargetMode="External"/><Relationship Id="rId9" Type="http://schemas.openxmlformats.org/officeDocument/2006/relationships/hyperlink" Target="https://www.sec.gov/Archives/edgar/data/949870/000095017025101426/sam-ex10_1.htm" TargetMode="External"/><Relationship Id="rId10" Type="http://schemas.openxmlformats.org/officeDocument/2006/relationships/hyperlink" Target="https://www.sec.gov/Archives/edgar/data/949870/000119312525245415/sam-ex10_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15076</Words>
  <Characters>81065</Characters>
  <CharactersWithSpaces>97806</CharactersWithSpaces>
  <Paragraphs>6235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