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m-20260810.htm"/>
      <w:bookmarkStart w:id="1" w:name="kssam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Boston Beer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001-14092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Design Center Place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368-5000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10, 2026, the Company entered into a 10b5-1 plan to repurchase up to $25 million of the Company’s Class A Common Stock during the period commencing September 28, 2026 and ending December 25, 2026.</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94" w:type="dxa"/>
        <w:jc w:val="left"/>
        <w:tblInd w:w="0" w:type="dxa"/>
        <w:tblLayout w:type="fixed"/>
        <w:tblCellMar>
          <w:top w:w="28" w:type="dxa"/>
          <w:left w:w="28" w:type="dxa"/>
          <w:bottom w:w="28" w:type="dxa"/>
          <w:right w:w="28" w:type="dxa"/>
        </w:tblCellMar>
      </w:tblPr>
      <w:tblGrid>
        <w:gridCol w:w="556"/>
        <w:gridCol w:w="1456"/>
        <w:gridCol w:w="451"/>
        <w:gridCol w:w="453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The Boston Beer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531" w:type="dxa"/>
            <w:tcBorders>
              <w:bottom w:val="single" w:sz="2" w:space="0" w:color="000000"/>
            </w:tcBorders>
            <w:tcMar>
              <w:top w:w="0" w:type="dxa"/>
              <w:left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/s/ Jim Koch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 James Koch</w:t>
              <w:br/>
              <w:t>Title: Founder, Brewer, President, CEO, and Chairman</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398</Words>
  <Characters>2157</Characters>
  <CharactersWithSpaces>2550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