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able_contents">
        <w:bookmarkStart w:id="0" w:name="sam-20260328.htm"/>
        <w:bookmarkStart w:id="1" w:name="kssam20260328"/>
        <w:bookmarkEnd w:id="0"/>
        <w:bookmarkEnd w:id="1"/>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color w:val="000000"/>
          <w:sz w:val="20"/>
        </w:rPr>
      </w:pPr>
      <w:r>
        <w:rPr>
          <w:rFonts w:ascii="Times New Roman" w:hAnsi="Times New Roman"/>
          <w:color w:val="000000"/>
          <w:sz w:val="20"/>
        </w:rPr>
        <w:t>Washington, D.C. 20549</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10-Q</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QUARTERLY REPORT PURSUANT TO SECTION 13 OR 15 (d) OF THE SECURITIES AND EXCHANGE ACT OF 1934</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March 28, 2026</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OR</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31"/>
        <w:gridCol w:w="9874"/>
      </w:tblGrid>
      <w:tr>
        <w:trPr/>
        <w:tc>
          <w:tcPr>
            <w:tcW w:w="331" w:type="dxa"/>
            <w:tcBorders/>
            <w:vAlign w:val="center"/>
          </w:tcPr>
          <w:p>
            <w:pPr>
              <w:pStyle w:val="TableContents"/>
              <w:bidi w:val="0"/>
              <w:spacing w:before="0" w:after="283"/>
              <w:jc w:val="left"/>
              <w:rPr>
                <w:sz w:val="4"/>
                <w:szCs w:val="4"/>
              </w:rPr>
            </w:pPr>
            <w:r>
              <w:rPr>
                <w:sz w:val="4"/>
                <w:szCs w:val="4"/>
              </w:rPr>
            </w:r>
          </w:p>
        </w:tc>
        <w:tc>
          <w:tcPr>
            <w:tcW w:w="9874"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87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TRANSITION REPORT PURSUANT TO SECTION 13 OR 15 (d) OF THE SECURITIES AND EXCHANGE ACT OF 1934</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For the transition period from to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Commission file number: 1-14092</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THE BOSTON BEER COMPANY, INC.</w:t>
      </w:r>
    </w:p>
    <w:p>
      <w:pPr>
        <w:pStyle w:val="TextBody"/>
        <w:bidi w:val="0"/>
        <w:jc w:val="center"/>
        <w:rPr>
          <w:rFonts w:ascii="Times New Roman" w:hAnsi="Times New Roman"/>
          <w:color w:val="000000"/>
          <w:sz w:val="20"/>
        </w:rPr>
      </w:pPr>
      <w:r>
        <w:rPr>
          <w:rFonts w:ascii="Times New Roman" w:hAnsi="Times New Roman"/>
          <w:color w:val="000000"/>
          <w:sz w:val="20"/>
        </w:rPr>
        <w:t>(Exact name of registrant as specified in its charter)</w:t>
      </w:r>
    </w:p>
    <w:p>
      <w:pPr>
        <w:pStyle w:val="TextBody"/>
        <w:bidi w:val="0"/>
        <w:jc w:val="center"/>
        <w:rPr/>
      </w:pPr>
      <w:r>
        <w:rPr/>
        <w:t> </w:t>
      </w:r>
    </w:p>
    <w:p>
      <w:pPr>
        <w:pStyle w:val="TextBody"/>
        <w:bidi w:val="0"/>
        <w:jc w:val="left"/>
        <w:rPr/>
      </w:pPr>
      <w:r>
        <w:rPr/>
        <w:t> </w:t>
      </w:r>
    </w:p>
    <w:tbl>
      <w:tblPr>
        <w:tblW w:w="5548" w:type="dxa"/>
        <w:jc w:val="left"/>
        <w:tblInd w:w="0" w:type="dxa"/>
        <w:tblLayout w:type="fixed"/>
        <w:tblCellMar>
          <w:top w:w="28" w:type="dxa"/>
          <w:left w:w="28" w:type="dxa"/>
          <w:bottom w:w="28" w:type="dxa"/>
          <w:right w:w="28" w:type="dxa"/>
        </w:tblCellMar>
      </w:tblPr>
      <w:tblGrid>
        <w:gridCol w:w="2866"/>
        <w:gridCol w:w="146"/>
        <w:gridCol w:w="253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04-3284048</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color w:val="000000"/>
                <w:sz w:val="16"/>
              </w:rPr>
            </w:pPr>
            <w:r>
              <w:rPr>
                <w:rFonts w:ascii="Times New Roman" w:hAnsi="Times New Roman"/>
                <w:color w:val="000000"/>
                <w:sz w:val="16"/>
              </w:rPr>
              <w:t>(State or other jurisdiction of</w:t>
            </w:r>
          </w:p>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(IRS Employer Identification No.)</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One Design Center Place, </w:t>
              <w:br/>
              <w:t>Suite 850, Boston, Massachusetts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02210</w:t>
            </w:r>
          </w:p>
        </w:tc>
      </w:tr>
      <w:tr>
        <w:trPr/>
        <w:tc>
          <w:tcPr>
            <w:tcW w:w="28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(Zip Code)</w:t>
            </w:r>
          </w:p>
        </w:tc>
      </w:tr>
    </w:tbl>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(617) 368-5000</w:t>
      </w:r>
    </w:p>
    <w:p>
      <w:pPr>
        <w:pStyle w:val="TextBody"/>
        <w:bidi w:val="0"/>
        <w:jc w:val="center"/>
        <w:rPr>
          <w:rFonts w:ascii="Times New Roman" w:hAnsi="Times New Roman"/>
          <w:color w:val="000000"/>
          <w:sz w:val="20"/>
        </w:rPr>
      </w:pPr>
      <w:r>
        <w:rPr>
          <w:rFonts w:ascii="Times New Roman" w:hAnsi="Times New Roman"/>
          <w:color w:val="000000"/>
          <w:sz w:val="20"/>
        </w:rPr>
        <w:t>(Registrant’s telephone number, including area code)</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420" w:type="dxa"/>
        <w:jc w:val="left"/>
        <w:tblInd w:w="0" w:type="dxa"/>
        <w:tblLayout w:type="fixed"/>
        <w:tblCellMar>
          <w:top w:w="28" w:type="dxa"/>
          <w:left w:w="28" w:type="dxa"/>
          <w:bottom w:w="28" w:type="dxa"/>
          <w:right w:w="28" w:type="dxa"/>
        </w:tblCellMar>
      </w:tblPr>
      <w:tblGrid>
        <w:gridCol w:w="2986"/>
        <w:gridCol w:w="146"/>
        <w:gridCol w:w="826"/>
        <w:gridCol w:w="146"/>
        <w:gridCol w:w="3316"/>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98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98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18"/>
              </w:rPr>
              <w:t>Class A Common Stock</w:t>
            </w:r>
            <w:r>
              <w:rPr>
                <w:rFonts w:ascii="Times New Roman" w:hAnsi="Times New Roman"/>
                <w:color w:val="000000"/>
                <w:sz w:val="20"/>
              </w:rPr>
              <w:t> </w:t>
            </w:r>
            <w:r>
              <w:rPr>
                <w:rFonts w:ascii="Times New Roman" w:hAnsi="Times New Roman"/>
                <w:color w:val="000000"/>
                <w:sz w:val="18"/>
              </w:rPr>
              <w:t>$0.01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SAM</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New York Stock Exchange</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8"/>
        </w:rPr>
        <w:t>No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pStyle w:val="TextBody"/>
        <w:bidi w:val="0"/>
        <w:jc w:val="both"/>
        <w:rPr/>
      </w:pPr>
      <w:r>
        <w:rPr/>
        <w:t> </w:t>
      </w:r>
    </w:p>
    <w:tbl>
      <w:tblPr>
        <w:tblW w:w="5197" w:type="dxa"/>
        <w:jc w:val="left"/>
        <w:tblInd w:w="0" w:type="dxa"/>
        <w:tblLayout w:type="fixed"/>
        <w:tblCellMar>
          <w:top w:w="28" w:type="dxa"/>
          <w:left w:w="28" w:type="dxa"/>
          <w:bottom w:w="28" w:type="dxa"/>
          <w:right w:w="28" w:type="dxa"/>
        </w:tblCellMar>
      </w:tblPr>
      <w:tblGrid>
        <w:gridCol w:w="2056"/>
        <w:gridCol w:w="146"/>
        <w:gridCol w:w="316"/>
        <w:gridCol w:w="146"/>
        <w:gridCol w:w="2026"/>
        <w:gridCol w:w="146"/>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20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rFonts w:ascii="Times New Roman" w:hAnsi="Times New Roman"/>
          <w:color w:val="000000"/>
          <w:sz w:val="18"/>
        </w:rPr>
      </w:pPr>
      <w:r>
        <w:rPr>
          <w:rFonts w:ascii="Times New Roman" w:hAnsi="Times New Roman"/>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____</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8"/>
        </w:rPr>
        <w:t xml:space="preserve">Indicate by check mark whether the registrant is a shell company (as defined in Rule 12b-2 of the Act.) Yes ☐ No </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Number of shares outstanding of each of the issuer’s classes of common stock, as of April 24, 2026:</w:t>
      </w:r>
    </w:p>
    <w:p>
      <w:pPr>
        <w:pStyle w:val="TextBody"/>
        <w:bidi w:val="0"/>
        <w:jc w:val="left"/>
        <w:rPr/>
      </w:pPr>
      <w:r>
        <w:rPr/>
        <w:t> </w:t>
      </w:r>
    </w:p>
    <w:tbl>
      <w:tblPr>
        <w:tblW w:w="4828" w:type="dxa"/>
        <w:jc w:val="left"/>
        <w:tblInd w:w="0" w:type="dxa"/>
        <w:tblLayout w:type="fixed"/>
        <w:tblCellMar>
          <w:top w:w="28" w:type="dxa"/>
          <w:left w:w="28" w:type="dxa"/>
          <w:bottom w:w="28" w:type="dxa"/>
          <w:right w:w="28" w:type="dxa"/>
        </w:tblCellMar>
      </w:tblPr>
      <w:tblGrid>
        <w:gridCol w:w="3136"/>
        <w:gridCol w:w="146"/>
        <w:gridCol w:w="1546"/>
      </w:tblGrid>
      <w:tr>
        <w:trPr/>
        <w:tc>
          <w:tcPr>
            <w:tcW w:w="31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A 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30303"/>
                <w:sz w:val="20"/>
              </w:rPr>
            </w:pPr>
            <w:r>
              <w:rPr>
                <w:rFonts w:ascii="Times New Roman" w:hAnsi="Times New Roman"/>
                <w:color w:val="030303"/>
                <w:sz w:val="20"/>
              </w:rPr>
              <w:t>8,345,442</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Class B Common Stock, $.01 par value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2,068,000</w:t>
            </w:r>
          </w:p>
        </w:tc>
      </w:tr>
      <w:tr>
        <w:trPr/>
        <w:tc>
          <w:tcPr>
            <w:tcW w:w="31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(Title of each class)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5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(Number of shares)</w:t>
            </w:r>
          </w:p>
        </w:tc>
      </w:tr>
    </w:tbl>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w:t>
      </w:r>
    </w:p>
    <w:p>
      <w:pPr>
        <w:pStyle w:val="TextBody"/>
        <w:bidi w:val="0"/>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March 28, 2026</w:t>
      </w:r>
    </w:p>
    <w:p>
      <w:pPr>
        <w:pStyle w:val="TextBody"/>
        <w:bidi w:val="0"/>
        <w:spacing w:before="120" w:after="283"/>
        <w:jc w:val="center"/>
        <w:rPr>
          <w:rFonts w:ascii="Times New Roman" w:hAnsi="Times New Roman"/>
          <w:b/>
          <w:color w:val="000000"/>
          <w:sz w:val="20"/>
        </w:rPr>
      </w:pPr>
      <w:bookmarkStart w:id="2" w:name="table_contents"/>
      <w:bookmarkEnd w:id="2"/>
      <w:r>
        <w:rPr>
          <w:rFonts w:ascii="Times New Roman" w:hAnsi="Times New Roman"/>
          <w:b/>
          <w:color w:val="000000"/>
          <w:sz w:val="20"/>
        </w:rPr>
        <w:t>TABLE OF CONTENTS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05"/>
        <w:gridCol w:w="146"/>
        <w:gridCol w:w="685"/>
        <w:gridCol w:w="7731"/>
        <w:gridCol w:w="146"/>
        <w:gridCol w:w="692"/>
      </w:tblGrid>
      <w:tr>
        <w:trPr/>
        <w:tc>
          <w:tcPr>
            <w:tcW w:w="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7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r>
      <w:tr>
        <w:trPr/>
        <w:tc>
          <w:tcPr>
            <w:tcW w:w="8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 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41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FINANCIAL INFORMATION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PAGE</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pPr>
            <w:r>
              <w:rPr/>
              <w:t> </w:t>
            </w:r>
          </w:p>
        </w:tc>
        <w:tc>
          <w:tcPr>
            <w:tcW w:w="77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1_consolidated_financial_statements">
              <w:r>
                <w:rPr>
                  <w:rStyle w:val="InternetLink"/>
                  <w:rFonts w:ascii="Times New Roman" w:hAnsi="Times New Roman"/>
                  <w:color w:val="0000FF"/>
                  <w:sz w:val="20"/>
                  <w:u w:val="single"/>
                </w:rPr>
                <w:t>Condensed Consolidated Financial Statements (Unaudited)</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pPr>
            <w:r>
              <w:rPr/>
              <w:t> </w:t>
            </w:r>
          </w:p>
        </w:tc>
        <w:tc>
          <w:tcPr>
            <w:tcW w:w="7731" w:type="dxa"/>
            <w:tcBorders/>
            <w:tcMar>
              <w:top w:w="0" w:type="dxa"/>
              <w:left w:w="0" w:type="dxa"/>
              <w:bottom w:w="0" w:type="dxa"/>
              <w:right w:w="0" w:type="dxa"/>
            </w:tcMar>
            <w:vAlign w:val="center"/>
          </w:tcPr>
          <w:p>
            <w:pPr>
              <w:pStyle w:val="TableContents"/>
              <w:bidi w:val="0"/>
              <w:spacing w:before="0" w:after="283"/>
              <w:jc w:val="left"/>
              <w:rPr/>
            </w:pPr>
            <w:hyperlink w:anchor="consolidated_balance_sheets">
              <w:r>
                <w:rPr>
                  <w:rStyle w:val="InternetLink"/>
                  <w:rFonts w:ascii="Times New Roman" w:hAnsi="Times New Roman"/>
                  <w:color w:val="0000FF"/>
                  <w:sz w:val="20"/>
                  <w:u w:val="single"/>
                </w:rPr>
                <w:t>Condensed Consolidated Balance Sheets as of March 28, 2026 and December 27, 2025</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pPr>
            <w:r>
              <w:rPr/>
              <w:t> </w:t>
            </w:r>
          </w:p>
        </w:tc>
        <w:tc>
          <w:tcPr>
            <w:tcW w:w="7731" w:type="dxa"/>
            <w:tcBorders/>
            <w:tcMar>
              <w:top w:w="0" w:type="dxa"/>
              <w:left w:w="0" w:type="dxa"/>
              <w:bottom w:w="0" w:type="dxa"/>
              <w:right w:w="0" w:type="dxa"/>
            </w:tcMar>
            <w:vAlign w:val="center"/>
          </w:tcPr>
          <w:p>
            <w:pPr>
              <w:pStyle w:val="TableContents"/>
              <w:bidi w:val="0"/>
              <w:spacing w:before="0" w:after="283"/>
              <w:jc w:val="left"/>
              <w:rPr/>
            </w:pPr>
            <w:hyperlink w:anchor="consolidated_statements_comprehensive_in">
              <w:r>
                <w:rPr>
                  <w:rStyle w:val="InternetLink"/>
                  <w:rFonts w:ascii="Times New Roman" w:hAnsi="Times New Roman"/>
                  <w:color w:val="0000FF"/>
                  <w:sz w:val="20"/>
                  <w:u w:val="single"/>
                </w:rPr>
                <w:t>Condensed Consolidated Statements of Comprehensive Operations for the thirteen weeks ended March 28, 2026 and March 29, 2025</w:t>
              </w:r>
            </w:hyperlink>
            <w:hyperlink w:anchor="consolidated_statements_comprehensive_in">
              <w:r>
                <w:rPr>
                  <w:rStyle w:val="InternetLink"/>
                  <w:rFonts w:ascii="Times New Roman" w:hAnsi="Times New Roman"/>
                  <w:color w:val="0000FF"/>
                  <w:sz w:val="20"/>
                </w:rPr>
                <w:t xml:space="preserve"> </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pPr>
            <w:r>
              <w:rPr/>
              <w:t> </w:t>
            </w:r>
          </w:p>
        </w:tc>
        <w:tc>
          <w:tcPr>
            <w:tcW w:w="7731" w:type="dxa"/>
            <w:tcBorders/>
            <w:tcMar>
              <w:top w:w="0" w:type="dxa"/>
              <w:left w:w="0" w:type="dxa"/>
              <w:bottom w:w="0" w:type="dxa"/>
              <w:right w:w="0" w:type="dxa"/>
            </w:tcMar>
            <w:vAlign w:val="center"/>
          </w:tcPr>
          <w:p>
            <w:pPr>
              <w:pStyle w:val="TableContents"/>
              <w:bidi w:val="0"/>
              <w:spacing w:before="0" w:after="283"/>
              <w:jc w:val="left"/>
              <w:rPr/>
            </w:pPr>
            <w:hyperlink w:anchor="consolidated_statements_cash_flows">
              <w:r>
                <w:rPr>
                  <w:rStyle w:val="InternetLink"/>
                  <w:rFonts w:ascii="Times New Roman" w:hAnsi="Times New Roman"/>
                  <w:color w:val="0000FF"/>
                  <w:sz w:val="20"/>
                  <w:u w:val="single"/>
                </w:rPr>
                <w:t>Condensed Consolidated Statements of Cash Flows for the thirteen weeks ended March 28, 2026 and March 29, 202</w:t>
              </w:r>
            </w:hyperlink>
            <w:r>
              <w:rPr>
                <w:rFonts w:ascii="Times New Roman" w:hAnsi="Times New Roman"/>
                <w:color w:val="000000"/>
                <w:sz w:val="20"/>
              </w:rPr>
              <w:t>5</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pPr>
            <w:r>
              <w:rPr/>
              <w:t> </w:t>
            </w:r>
          </w:p>
        </w:tc>
        <w:tc>
          <w:tcPr>
            <w:tcW w:w="7731" w:type="dxa"/>
            <w:tcBorders/>
            <w:tcMar>
              <w:top w:w="0" w:type="dxa"/>
              <w:left w:w="0" w:type="dxa"/>
              <w:bottom w:w="0" w:type="dxa"/>
              <w:right w:w="0" w:type="dxa"/>
            </w:tcMar>
            <w:vAlign w:val="center"/>
          </w:tcPr>
          <w:p>
            <w:pPr>
              <w:pStyle w:val="TableContents"/>
              <w:bidi w:val="0"/>
              <w:spacing w:before="0" w:after="283"/>
              <w:jc w:val="left"/>
              <w:rPr/>
            </w:pPr>
            <w:hyperlink w:anchor="consolidated_statements_stockholders_equ">
              <w:r>
                <w:rPr>
                  <w:rStyle w:val="InternetLink"/>
                  <w:rFonts w:ascii="Times New Roman" w:hAnsi="Times New Roman"/>
                  <w:color w:val="0000FF"/>
                  <w:sz w:val="20"/>
                  <w:u w:val="single"/>
                </w:rPr>
                <w:t>Condensed Consolidated Statements of Stockholders’ Equity for the thirteen weeks ended March 28, 2026 and March 29, 2025</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pPr>
            <w:r>
              <w:rPr/>
              <w:t> </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notes_to_financial_statements">
              <w:r>
                <w:rPr>
                  <w:rStyle w:val="InternetLink"/>
                  <w:rFonts w:ascii="Times New Roman" w:hAnsi="Times New Roman"/>
                  <w:color w:val="0000FF"/>
                  <w:sz w:val="20"/>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2.</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2__managements_discussion_analysis_">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3.</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4.</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pPr>
            <w:r>
              <w:rPr/>
              <w:t> </w:t>
            </w:r>
          </w:p>
        </w:tc>
        <w:tc>
          <w:tcPr>
            <w:tcW w:w="77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 II.</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8416"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OTHER INFORMATION</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pPr>
            <w:r>
              <w:rPr/>
              <w:t> </w:t>
            </w:r>
          </w:p>
        </w:tc>
        <w:tc>
          <w:tcPr>
            <w:tcW w:w="77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1A.</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2.</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3.</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4.</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5.</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5_or_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Item 6.</w:t>
            </w:r>
          </w:p>
        </w:tc>
        <w:tc>
          <w:tcPr>
            <w:tcW w:w="7731" w:type="dxa"/>
            <w:tcBorders/>
            <w:tcMar>
              <w:top w:w="0" w:type="dxa"/>
              <w:left w:w="0" w:type="dxa"/>
              <w:bottom w:w="0" w:type="dxa"/>
              <w:right w:w="0" w:type="dxa"/>
            </w:tcMar>
            <w:vAlign w:val="center"/>
          </w:tcPr>
          <w:p>
            <w:pPr>
              <w:pStyle w:val="TableContents"/>
              <w:bidi w:val="0"/>
              <w:spacing w:before="0" w:after="283"/>
              <w:jc w:val="both"/>
              <w:rPr/>
            </w:pPr>
            <w:hyperlink w:anchor="item_6_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r>
      <w:tr>
        <w:trPr/>
        <w:tc>
          <w:tcPr>
            <w:tcW w:w="80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85" w:type="dxa"/>
            <w:tcBorders/>
            <w:tcMar>
              <w:top w:w="0" w:type="dxa"/>
              <w:left w:w="0" w:type="dxa"/>
              <w:bottom w:w="0" w:type="dxa"/>
              <w:right w:w="0" w:type="dxa"/>
            </w:tcMar>
            <w:vAlign w:val="center"/>
          </w:tcPr>
          <w:p>
            <w:pPr>
              <w:pStyle w:val="TableContents"/>
              <w:bidi w:val="0"/>
              <w:spacing w:before="0" w:after="283"/>
              <w:jc w:val="both"/>
              <w:rPr/>
            </w:pPr>
            <w:r>
              <w:rPr/>
              <w:t> </w:t>
            </w:r>
          </w:p>
        </w:tc>
        <w:tc>
          <w:tcPr>
            <w:tcW w:w="773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9367" w:type="dxa"/>
            <w:gridSpan w:val="4"/>
            <w:tcBorders/>
            <w:tcMar>
              <w:top w:w="0" w:type="dxa"/>
              <w:left w:w="0" w:type="dxa"/>
              <w:bottom w:w="0" w:type="dxa"/>
              <w:right w:w="0" w:type="dxa"/>
            </w:tcMar>
            <w:vAlign w:val="center"/>
          </w:tcPr>
          <w:p>
            <w:pPr>
              <w:pStyle w:val="TableContents"/>
              <w:bidi w:val="0"/>
              <w:spacing w:before="0" w:after="283"/>
              <w:jc w:val="both"/>
              <w:rPr/>
            </w:pPr>
            <w:hyperlink w:anchor="signatures">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692"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w:t>
            </w:r>
          </w:p>
        </w:tc>
      </w:tr>
    </w:tbl>
    <w:p>
      <w:pPr>
        <w:pStyle w:val="TextBody"/>
        <w:bidi w:val="0"/>
        <w:jc w:val="both"/>
        <w:rPr/>
      </w:pPr>
      <w:r>
        <w:rPr/>
        <w:t> </w:t>
      </w:r>
    </w:p>
    <w:p>
      <w:pPr>
        <w:pStyle w:val="TextBody"/>
        <w:bidi w:val="0"/>
        <w:jc w:val="left"/>
        <w:rPr>
          <w:rFonts w:ascii="Times New Roman" w:hAnsi="Times New Roman"/>
          <w:color w:val="000000"/>
          <w:sz w:val="20"/>
        </w:rPr>
      </w:pPr>
      <w:r>
        <w:rPr>
          <w:rFonts w:ascii="Times New Roman" w:hAnsi="Times New Roman"/>
          <w:color w:val="000000"/>
          <w:sz w:val="20"/>
        </w:rPr>
        <w:t>EX-31.1 Section 302 CEO Certification</w:t>
      </w:r>
    </w:p>
    <w:p>
      <w:pPr>
        <w:pStyle w:val="TextBody"/>
        <w:bidi w:val="0"/>
        <w:jc w:val="left"/>
        <w:rPr>
          <w:rFonts w:ascii="Times New Roman" w:hAnsi="Times New Roman"/>
          <w:color w:val="000000"/>
          <w:sz w:val="20"/>
        </w:rPr>
      </w:pPr>
      <w:r>
        <w:rPr>
          <w:rFonts w:ascii="Times New Roman" w:hAnsi="Times New Roman"/>
          <w:color w:val="000000"/>
          <w:sz w:val="20"/>
        </w:rPr>
        <w:t>EX-31.2 Section 302 CFO Certification</w:t>
      </w:r>
    </w:p>
    <w:p>
      <w:pPr>
        <w:pStyle w:val="TextBody"/>
        <w:bidi w:val="0"/>
        <w:jc w:val="left"/>
        <w:rPr>
          <w:rFonts w:ascii="Times New Roman" w:hAnsi="Times New Roman"/>
          <w:color w:val="000000"/>
          <w:sz w:val="20"/>
        </w:rPr>
      </w:pPr>
      <w:r>
        <w:rPr>
          <w:rFonts w:ascii="Times New Roman" w:hAnsi="Times New Roman"/>
          <w:color w:val="000000"/>
          <w:sz w:val="20"/>
        </w:rPr>
        <w:t>EX-32.1 Section 906 CEO Certification</w:t>
      </w:r>
    </w:p>
    <w:p>
      <w:pPr>
        <w:pStyle w:val="TextBody"/>
        <w:bidi w:val="0"/>
        <w:jc w:val="left"/>
        <w:rPr>
          <w:rFonts w:ascii="Times New Roman" w:hAnsi="Times New Roman"/>
          <w:color w:val="000000"/>
          <w:sz w:val="20"/>
        </w:rPr>
      </w:pPr>
      <w:r>
        <w:rPr>
          <w:rFonts w:ascii="Times New Roman" w:hAnsi="Times New Roman"/>
          <w:color w:val="000000"/>
          <w:sz w:val="20"/>
        </w:rPr>
        <w:t>EX-32.2 Section 906 CFO Certification</w:t>
      </w:r>
    </w:p>
    <w:p>
      <w:pPr>
        <w:pStyle w:val="TextBody"/>
        <w:bidi w:val="0"/>
        <w:jc w:val="both"/>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both"/>
        <w:rPr>
          <w:rFonts w:ascii="Times New Roman" w:hAnsi="Times New Roman"/>
          <w:b/>
          <w:color w:val="000000"/>
          <w:sz w:val="20"/>
        </w:rPr>
      </w:pPr>
      <w:bookmarkStart w:id="3" w:name="financial_information"/>
      <w:bookmarkEnd w:id="3"/>
      <w:r>
        <w:rPr>
          <w:rFonts w:ascii="Times New Roman" w:hAnsi="Times New Roman"/>
          <w:b/>
          <w:color w:val="000000"/>
          <w:sz w:val="20"/>
        </w:rPr>
        <w:t>PART I. FINANCIAL INFORMATION</w:t>
      </w:r>
    </w:p>
    <w:p>
      <w:pPr>
        <w:pStyle w:val="TextBody"/>
        <w:bidi w:val="0"/>
        <w:jc w:val="both"/>
        <w:rPr/>
      </w:pPr>
      <w:r>
        <w:rPr/>
        <w:t> </w:t>
      </w:r>
    </w:p>
    <w:p>
      <w:pPr>
        <w:pStyle w:val="TextBody"/>
        <w:bidi w:val="0"/>
        <w:jc w:val="both"/>
        <w:rPr>
          <w:rFonts w:ascii="Times New Roman" w:hAnsi="Times New Roman"/>
          <w:b/>
          <w:color w:val="000000"/>
          <w:sz w:val="20"/>
        </w:rPr>
      </w:pPr>
      <w:bookmarkStart w:id="4" w:name="item_1_consolidated_financial_statements"/>
      <w:bookmarkEnd w:id="4"/>
      <w:r>
        <w:rPr>
          <w:rFonts w:ascii="Times New Roman" w:hAnsi="Times New Roman"/>
          <w:b/>
          <w:color w:val="000000"/>
          <w:sz w:val="20"/>
        </w:rPr>
        <w:t>Item 1. CONDENSED CONSOLIDATED FINANCIAL STATEMENTS (UNAUDITED)</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5" w:name="consolidated_balance_sheet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872"/>
        <w:gridCol w:w="146"/>
        <w:gridCol w:w="211"/>
        <w:gridCol w:w="931"/>
        <w:gridCol w:w="166"/>
        <w:gridCol w:w="146"/>
        <w:gridCol w:w="211"/>
        <w:gridCol w:w="931"/>
        <w:gridCol w:w="591"/>
      </w:tblGrid>
      <w:tr>
        <w:trPr/>
        <w:tc>
          <w:tcPr>
            <w:tcW w:w="68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w:t>
              <w:br/>
              <w:t>2026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142" w:type="dxa"/>
            <w:gridSpan w:val="2"/>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w:t>
              <w:br/>
              <w:t>2025</w:t>
            </w:r>
          </w:p>
        </w:tc>
        <w:tc>
          <w:tcPr>
            <w:tcW w:w="59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center"/>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223,378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57,094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20,316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417,283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417,579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563,757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578,125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30,229</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112,529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Third-party production prepayments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Note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11,218</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22,063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1,171,049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100,214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94,975</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336,808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144,797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252,534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64,785</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25,111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488,455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347,315</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(See Note 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 $0.01 par value; 22,700,000 shares authorized; 8,343,102 and 8,408,458 issued and outstanding as of March 28, 2026 and December 27, 2025,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 $0.01 par value; 4,200,000 shares authorized; 2,068,000</w:t>
              <w:br/>
              <w:t>   issued and outstanding as of March 28, 2026 and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698,811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 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682,594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846,280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8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1,171,049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1,193,595</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6" w:name="consolidated_statements_comprehensive_in"/>
      <w:bookmarkEnd w:id="6"/>
      <w:r>
        <w:rPr>
          <w:rFonts w:ascii="Times New Roman" w:hAnsi="Times New Roman"/>
          <w:b/>
          <w:color w:val="000000"/>
          <w:sz w:val="20"/>
        </w:rPr>
        <w:t>CONDENSED CONSOLIDATED STATEMENTS OF COMPREHENSIVE OPERATIONS</w:t>
      </w:r>
    </w:p>
    <w:p>
      <w:pPr>
        <w:pStyle w:val="TextBody"/>
        <w:bidi w:val="0"/>
        <w:jc w:val="center"/>
        <w:rPr>
          <w:rFonts w:ascii="Times New Roman" w:hAnsi="Times New Roman"/>
          <w:color w:val="000000"/>
          <w:sz w:val="20"/>
        </w:rPr>
      </w:pPr>
      <w:r>
        <w:rPr>
          <w:rFonts w:ascii="Times New Roman" w:hAnsi="Times New Roman"/>
          <w:color w:val="000000"/>
          <w:sz w:val="20"/>
        </w:rPr>
        <w:t>(in thousands, except per share data)</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7867" w:type="dxa"/>
        <w:jc w:val="left"/>
        <w:tblInd w:w="0" w:type="dxa"/>
        <w:tblLayout w:type="fixed"/>
        <w:tblCellMar>
          <w:top w:w="28" w:type="dxa"/>
          <w:left w:w="28" w:type="dxa"/>
          <w:bottom w:w="28" w:type="dxa"/>
          <w:right w:w="28" w:type="dxa"/>
        </w:tblCellMar>
      </w:tblPr>
      <w:tblGrid>
        <w:gridCol w:w="4546"/>
        <w:gridCol w:w="146"/>
        <w:gridCol w:w="252"/>
        <w:gridCol w:w="1008"/>
        <w:gridCol w:w="166"/>
        <w:gridCol w:w="146"/>
        <w:gridCol w:w="211"/>
        <w:gridCol w:w="781"/>
        <w:gridCol w:w="611"/>
      </w:tblGrid>
      <w:tr>
        <w:trPr/>
        <w:tc>
          <w:tcPr>
            <w:tcW w:w="45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w:t>
              <w:b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481,357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excise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453,867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234,604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219,263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promotional, and selling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137,535</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47,952</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404,416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185,487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(190,455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33,776</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 (benefit)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35,843</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 (benefit)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common share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common share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number of common shares –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11,259</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54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other comprehensive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5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(145,368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24,561</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THE BOSTON BEER COMPANY, INC. AND SUBSIDIARIES</w:t>
      </w:r>
    </w:p>
    <w:p>
      <w:pPr>
        <w:pStyle w:val="TextBody"/>
        <w:bidi w:val="0"/>
        <w:jc w:val="center"/>
        <w:rPr>
          <w:rFonts w:ascii="Times New Roman" w:hAnsi="Times New Roman"/>
          <w:b/>
          <w:color w:val="000000"/>
          <w:sz w:val="18"/>
        </w:rPr>
      </w:pPr>
      <w:bookmarkStart w:id="7" w:name="consolidated_statements_cash_flows"/>
      <w:bookmarkEnd w:id="7"/>
      <w:r>
        <w:rPr>
          <w:rFonts w:ascii="Times New Roman" w:hAnsi="Times New Roman"/>
          <w:b/>
          <w:color w:val="000000"/>
          <w:sz w:val="18"/>
        </w:rPr>
        <w:t>CONDENSED CONSOLIDATED STATEMENTS OF CASH FLOWS</w:t>
      </w:r>
    </w:p>
    <w:p>
      <w:pPr>
        <w:pStyle w:val="TextBody"/>
        <w:bidi w:val="0"/>
        <w:jc w:val="center"/>
        <w:rPr>
          <w:rFonts w:ascii="Times New Roman" w:hAnsi="Times New Roman"/>
          <w:color w:val="000000"/>
          <w:sz w:val="18"/>
        </w:rPr>
      </w:pPr>
      <w:r>
        <w:rPr>
          <w:rFonts w:ascii="Times New Roman" w:hAnsi="Times New Roman"/>
          <w:color w:val="000000"/>
          <w:sz w:val="18"/>
        </w:rPr>
        <w:t>(in thousands)</w:t>
      </w:r>
    </w:p>
    <w:p>
      <w:pPr>
        <w:pStyle w:val="TextBody"/>
        <w:bidi w:val="0"/>
        <w:jc w:val="center"/>
        <w:rPr>
          <w:rFonts w:ascii="Times New Roman" w:hAnsi="Times New Roman"/>
          <w:sz w:val="20"/>
        </w:rPr>
      </w:pPr>
      <w:r>
        <w:rPr>
          <w:rFonts w:ascii="Times New Roman" w:hAnsi="Times New Roman"/>
          <w:color w:val="000000"/>
          <w:sz w:val="18"/>
        </w:rPr>
        <w:t>(unaudited)</w:t>
      </w:r>
      <w:r>
        <w:rPr>
          <w:rFonts w:ascii="Times New Roman" w:hAnsi="Times New Roman"/>
          <w:color w:val="000000"/>
          <w:sz w:val="20"/>
        </w:rPr>
        <w:t xml:space="preserve"> </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6522"/>
        <w:gridCol w:w="346"/>
        <w:gridCol w:w="196"/>
        <w:gridCol w:w="751"/>
        <w:gridCol w:w="366"/>
        <w:gridCol w:w="346"/>
        <w:gridCol w:w="196"/>
        <w:gridCol w:w="691"/>
        <w:gridCol w:w="791"/>
      </w:tblGrid>
      <w:tr>
        <w:trPr/>
        <w:tc>
          <w:tcPr>
            <w:tcW w:w="65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Thirteen weeks ended</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28,</w:t>
              <w:br/>
              <w:t>2026</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29,</w:t>
              <w:br/>
              <w:t>2025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 income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(145,261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Adjustments to reconcile net (loss) income to net cash (used in) provided by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21,583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22,814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Impairment of brewery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(Gain) loss on sale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Litigation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212,035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Change in right-of-use assets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2,742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(11,161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6,404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5,870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Deferred income taxes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(51,536</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(2,587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non-cash (income)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receivable</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(29,832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(26,402</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Inventories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(27,030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(26,827</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Prepaid expenses and other 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(10,883</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Income tax receivable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7,889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6,582</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Third-party production prepayments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Brewery-related assets and cloud computing</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985</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1,098</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assets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275</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Accounts payable</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11,039</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23,004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(16,022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(19,950</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(3,130</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10,911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Other non-current liabilities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provided by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(20,435</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1,939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Purchases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(12,322</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(9,921</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Proceeds from disposal of property, plant, and equipment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8"/>
              </w:rPr>
            </w:pPr>
            <w:r>
              <w:rPr>
                <w:rFonts w:ascii="Times New Roman" w:hAnsi="Times New Roman"/>
                <w:color w:val="000000"/>
                <w:sz w:val="18"/>
              </w:rPr>
              <w:t>Net cash used in 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(12,322</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(9,879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flows used in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Repurchases and retirement of Class A common stock</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(23,348</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(49,394</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exercise of stock options and sale of investment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367</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446</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on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tax withholding on stock-based payment awards and investment shares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(2,935</w:t>
            </w:r>
          </w:p>
        </w:tc>
        <w:tc>
          <w:tcPr>
            <w:tcW w:w="3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(2,057</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Net cash used in financing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(26,497</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(51,425</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Change in cash and cash equivalents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(59,254</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(59,365</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223,378</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211,819</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and cash equivalents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164,124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152,454</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 (payment) refund,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for amounts included in measurement of lease liabilities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cash outflows from operating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3,465</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3,200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Operating cash outflows from finance leases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Financing cash outflows from finance leases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420</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 assets obtained in exchange for operating lease obligations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13,630</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Right-of-use-assets obtained in exchange for finance lease obligations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271</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(Decrease) increase in accounts payable for purchases of property, plant, and equipment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(5,800</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191</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financing activity – increase in accrued excise taxes on share repurchases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504</w:t>
            </w:r>
          </w:p>
        </w:tc>
        <w:tc>
          <w:tcPr>
            <w:tcW w:w="366"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395</w:t>
            </w:r>
          </w:p>
        </w:tc>
        <w:tc>
          <w:tcPr>
            <w:tcW w:w="7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52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Non-cash investing activity - application of supplier shortfall fees to reduce notes receivable and accrued expenses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3,937</w:t>
            </w:r>
          </w:p>
        </w:tc>
        <w:tc>
          <w:tcPr>
            <w:tcW w:w="3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8" w:name="consolidated_statements_stockholders_equ"/>
      <w:bookmarkEnd w:id="8"/>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For the thirteen weeks ended March 28, 2026 and March 29, 2025</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1138" w:type="dxa"/>
        <w:jc w:val="left"/>
        <w:tblInd w:w="0" w:type="dxa"/>
        <w:tblLayout w:type="fixed"/>
        <w:tblCellMar>
          <w:top w:w="28" w:type="dxa"/>
          <w:left w:w="28" w:type="dxa"/>
          <w:bottom w:w="28" w:type="dxa"/>
          <w:right w:w="28" w:type="dxa"/>
        </w:tblCellMar>
      </w:tblPr>
      <w:tblGrid>
        <w:gridCol w:w="1261"/>
        <w:gridCol w:w="146"/>
        <w:gridCol w:w="155"/>
        <w:gridCol w:w="611"/>
        <w:gridCol w:w="166"/>
        <w:gridCol w:w="146"/>
        <w:gridCol w:w="306"/>
        <w:gridCol w:w="460"/>
        <w:gridCol w:w="166"/>
        <w:gridCol w:w="146"/>
        <w:gridCol w:w="155"/>
        <w:gridCol w:w="611"/>
        <w:gridCol w:w="146"/>
        <w:gridCol w:w="146"/>
        <w:gridCol w:w="306"/>
        <w:gridCol w:w="460"/>
        <w:gridCol w:w="146"/>
        <w:gridCol w:w="146"/>
        <w:gridCol w:w="211"/>
        <w:gridCol w:w="781"/>
        <w:gridCol w:w="166"/>
        <w:gridCol w:w="146"/>
        <w:gridCol w:w="370"/>
        <w:gridCol w:w="846"/>
        <w:gridCol w:w="166"/>
        <w:gridCol w:w="146"/>
        <w:gridCol w:w="211"/>
        <w:gridCol w:w="841"/>
        <w:gridCol w:w="166"/>
        <w:gridCol w:w="146"/>
        <w:gridCol w:w="211"/>
        <w:gridCol w:w="841"/>
        <w:gridCol w:w="211"/>
      </w:tblGrid>
      <w:tr>
        <w:trPr/>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698,811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846,280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704,344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(21,367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682,594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A</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Class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Other</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Stockholders’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Stock, Par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28,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676,454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240,315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916,187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exercised and restricted shares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Repurchase and retirement of 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(49,618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March 29,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682,334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215,111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897,010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accompanying notes are an integral part of these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THE BOSTON BEER COMPANY, INC. AND SUBSIDIARIES</w:t>
      </w:r>
    </w:p>
    <w:p>
      <w:pPr>
        <w:pStyle w:val="TextBody"/>
        <w:bidi w:val="0"/>
        <w:jc w:val="center"/>
        <w:rPr>
          <w:rFonts w:ascii="Times New Roman" w:hAnsi="Times New Roman"/>
          <w:b/>
          <w:color w:val="000000"/>
          <w:sz w:val="20"/>
        </w:rPr>
      </w:pPr>
      <w:bookmarkStart w:id="9" w:name="notes_to_financial_statements"/>
      <w:bookmarkEnd w:id="9"/>
      <w:r>
        <w:rPr>
          <w:rFonts w:ascii="Times New Roman" w:hAnsi="Times New Roman"/>
          <w:b/>
          <w:color w:val="000000"/>
          <w:sz w:val="20"/>
        </w:rPr>
        <w:t>NOTES TO CONDENSED CONSOLIDATED FINANCIAL STATEMENTS</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A. Organization and Basis of Presentation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Boston Beer Company, Inc. and certain subsidiaries (the “Company”) are engaged in the business of selling alcohol beverages throughout the United States and in selected international markets, under the tradenames “The Boston Beer Company®”, “Twisted Tea Brewing Company®”, “Hard Seltzer Beverage Company”, “Angry Orchard® Cider Company”, “Dogfish Head® Craft Brewery”, “Dogfish Head Distilling Co.”, “Angel City® Brewing Company”, “Coney Island® Brewing Company”, "Green Rebel Brewing Co.", and "Sun Cruiser Beverage Co.".</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accompanying unaudited condensed consolidated balance sheet as of March 28, 2026, and the unaudited condensed consolidated statements of comprehensive operations, stockholders’ equity, and cash flows for the interim periods ended March 28, 2026 and March 29, 2025, respectively, have been prepared by the Company in accordance with U.S. generally accepted accounting principles (“GAAP”) for interim financial information and pursuant to the rules and regulations of the Securities and Exchange Commission. Accordingly, certain information and footnotes normally included in financial statements prepared in accordance with GAAP have been condensed or omitted. All intercompany accounts and transactions have been eliminated. Certain reclassifications have been made to previously reported captioned amounts within operating cash flow activities to conform to the fiscal 2026 presentation of disaggregated activity. These condensed consolidated financial statements should be read in conjunction with the audited financial statements included in the Company’s Annual Report on Form 10-K for the year ended December 27,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the opinion of the Company’s management, the Company’s unaudited condensed consolidated balance sheet as of March 28, 2026 and the results of its condensed consolidated comprehensive operations, stockholders’ equity, and cash flows for the interim periods ended March 28, 2026 and March 29, 2025, reflect all adjustments necessary to present fairly the results of the interim periods presented. The operating results for the interim periods presented are not necessarily indicative of the results expected for the full year.</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B. Recent Accounting Pronouncements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New accounting pronouncements are issued periodically by the FASB and are adopted by the Company as of the specified effective dates. Unless otherwise disclosed below, the Company believes that recently issued and adopted pronouncements will not have a material impact on the Company’s financial position, results of operations and cash flows or do not apply to the Company’s operations.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November 2024, the FASB issued ASU 2024-03—</w:t>
      </w:r>
      <w:r>
        <w:rPr>
          <w:rFonts w:ascii="Times New Roman" w:hAnsi="Times New Roman"/>
          <w:i/>
          <w:color w:val="000000"/>
          <w:sz w:val="20"/>
        </w:rPr>
        <w:t>Income Statement - Reporting Comprehensive Income - Expenses Disaggregation Disclosures</w:t>
      </w:r>
      <w:r>
        <w:rPr>
          <w:rFonts w:ascii="Times New Roman" w:hAnsi="Times New Roman"/>
          <w:color w:val="000000"/>
          <w:sz w:val="20"/>
        </w:rPr>
        <w:t xml:space="preserve"> (SubTopic 220-40): </w:t>
      </w:r>
      <w:r>
        <w:rPr>
          <w:rFonts w:ascii="Times New Roman" w:hAnsi="Times New Roman"/>
          <w:i/>
          <w:color w:val="000000"/>
          <w:sz w:val="20"/>
        </w:rPr>
        <w:t>Disaggregation of Income Statement Expense</w:t>
      </w:r>
      <w:r>
        <w:rPr>
          <w:rFonts w:ascii="Times New Roman" w:hAnsi="Times New Roman"/>
          <w:color w:val="000000"/>
          <w:sz w:val="20"/>
        </w:rPr>
        <w:t xml:space="preserve">s. This ASU was issued to address investor requests for more detailed information about the types of expenses in commonly presented expense captions (such as cost of sales, SG&amp;A, and research and development). This ASU is effective for public entities for annual periods beginning after December 15, 2026. Early adoption is permitted. ASU 2024-03 will be effective for the Company in the first quarter of its fiscal year ending December 25, 2027. The Company is currently evaluating the impact the adoption of this ASU will have on its consolidated financial statements.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July 2025, the FASB issued ASU 2025</w:t>
        <w:noBreakHyphen/>
        <w:t>05—</w:t>
      </w:r>
      <w:r>
        <w:rPr>
          <w:rFonts w:ascii="Times New Roman" w:hAnsi="Times New Roman"/>
          <w:i/>
          <w:color w:val="000000"/>
          <w:sz w:val="20"/>
        </w:rPr>
        <w:t>Financial Instruments—Credit Losses (Topic 326): Measurement of Credit Losses for Accounts Receivable and Contract Assets</w:t>
      </w:r>
      <w:r>
        <w:rPr>
          <w:rFonts w:ascii="Times New Roman" w:hAnsi="Times New Roman"/>
          <w:color w:val="000000"/>
          <w:sz w:val="20"/>
        </w:rPr>
        <w:t>, which provides a practical expedient intended to simplify the estimation of expected credit losses for current accounts receivable and contract assets arising under Topic 606, Revenue from Contracts with Customers. The ASU became effective for annual and interim periods beginning after December 15, 2025. The Company adopted ASU 2025</w:t>
        <w:noBreakHyphen/>
        <w:t>05 in the first quarter of 2026 and elected the practical expedient to assume that current conditions as of the balance sheet date remain unchanged over the remaining life of current accounts receivable when estimating expected credit losses. The adoption of this ASU did not have a material impact on the Company’s consolidated financial statements.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In December 2025, the FASB issued ASU 2025-11—</w:t>
      </w:r>
      <w:r>
        <w:rPr>
          <w:rFonts w:ascii="Times New Roman" w:hAnsi="Times New Roman"/>
          <w:i/>
          <w:color w:val="000000"/>
          <w:sz w:val="20"/>
        </w:rPr>
        <w:t>Interim Reporting (Topic 270): Narrow-Scope Improvements</w:t>
      </w:r>
      <w:r>
        <w:rPr>
          <w:rFonts w:ascii="Times New Roman" w:hAnsi="Times New Roman"/>
          <w:color w:val="000000"/>
          <w:sz w:val="20"/>
        </w:rPr>
        <w:t>. This ASU was issued to improve the navigability of the interim reporting guidance and to clarify when and how the interim disclosure requirements in Topic 270 apply. The amendments also introduce a disclosure principle requiring entities to disclose events and changes since the end of the most recent annual reporting period that have a material impact on the entity. The ASU does not change the fundamental nature of interim reporting or significantly expand or reduce existing interim disclosure requirements. ASU 2025-11 is effective for public entities for interim reporting periods within fiscal years beginning after December 15, 2027. Early adoption is permitted. The Company is currently evaluating the impact the adoption of this ASU will have on its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 Revenue Recognition</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breakdown of revenue during the thirteen weeks ended March 28, 2026 and March 29, 2025 were as follows: </w:t>
      </w:r>
    </w:p>
    <w:p>
      <w:pPr>
        <w:pStyle w:val="TextBody"/>
        <w:bidi w:val="0"/>
        <w:jc w:val="left"/>
        <w:rPr/>
      </w:pPr>
      <w:r>
        <w:rPr/>
        <w:t> </w:t>
      </w:r>
    </w:p>
    <w:tbl>
      <w:tblPr>
        <w:tblW w:w="6539" w:type="dxa"/>
        <w:jc w:val="left"/>
        <w:tblInd w:w="0" w:type="dxa"/>
        <w:tblLayout w:type="fixed"/>
        <w:tblCellMar>
          <w:top w:w="28" w:type="dxa"/>
          <w:left w:w="28" w:type="dxa"/>
          <w:bottom w:w="28" w:type="dxa"/>
          <w:right w:w="28" w:type="dxa"/>
        </w:tblCellMar>
      </w:tblPr>
      <w:tblGrid>
        <w:gridCol w:w="3256"/>
        <w:gridCol w:w="300"/>
        <w:gridCol w:w="960"/>
        <w:gridCol w:w="286"/>
        <w:gridCol w:w="146"/>
        <w:gridCol w:w="300"/>
        <w:gridCol w:w="960"/>
        <w:gridCol w:w="331"/>
      </w:tblGrid>
      <w:tr>
        <w:trPr/>
        <w:tc>
          <w:tcPr>
            <w:tcW w:w="325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 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Shipments to domestic distributors</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Shipments to international distributors</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6</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Sales at retail locations</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r>
        <w:trPr/>
        <w:tc>
          <w:tcPr>
            <w:tcW w:w="3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100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recognizes revenue when obligations under the terms of a contract with its customer are satisfied; generally, this occurs with the transfer of title of its products. Revenue is measured as the amount of consideration expected to be received in exchange for transferring products. If the conditions for revenue recognition are not met, the Company defers the revenue until all conditions are met. As of March 28, 2026 and December 27, 2025, the Company has deferred $24.7 million and $13.3 million, respectively, in revenue related to product shipped prior to these dates. These amounts are included in accrued expenses and other current liabilities in the accompanying condensed consolidated balance sheets.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promotional discount programs are entered into by the Company with distributors for certain periods of time. The reimbursements for discounts to distributors are recorded as reductions to net revenue and were $13.7 million and $12.3 million for the thirteen weeks ended March 28, 2026 and March 29, 2025, respectively. The agreed-upon discount rates are applied to certain distributors' sales to retailers, based on volume metrics, in order to determine the total discounted amount. The computation of the discount allowance requires that management make certain estimates and assumptions that affect the timing and amounts of revenue and liabilities recorded. Actual promotional discounts owed and paid have historically been in line with allowances recorded by the Company; however, the amounts could differ from the estimated allowance.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Customer programs and incentives are a common practice in the alcohol beverage industry. Amounts paid in connection with customer programs and incentives are recorded as reductions to net revenue or as advertising, promotional and selling expenses, based on the nature of the expenditure. Customer incentives and other payments made to distributors are primarily based upon performance of certain marketing and advertising activities. Depending on applicable state laws and regulations, these activities promoting the Company's products may include, but are not limited to point-of-sale and merchandise placement, samples, product displays, promotional programs at retail locations and meals, travel and entertainment. Amounts paid to customers in connection with these programs that were recorded as reductions to net revenue or as advertising, promotional and selling expenses for the thirteen weeks ended March 28, 2026 and March 29, 2025 were as follows:</w:t>
      </w:r>
    </w:p>
    <w:p>
      <w:pPr>
        <w:pStyle w:val="TextBody"/>
        <w:bidi w:val="0"/>
        <w:jc w:val="left"/>
        <w:rPr/>
      </w:pPr>
      <w:r>
        <w:rPr/>
        <w:t> </w:t>
      </w:r>
    </w:p>
    <w:tbl>
      <w:tblPr>
        <w:tblW w:w="8524" w:type="dxa"/>
        <w:jc w:val="left"/>
        <w:tblInd w:w="0" w:type="dxa"/>
        <w:tblLayout w:type="fixed"/>
        <w:tblCellMar>
          <w:top w:w="28" w:type="dxa"/>
          <w:left w:w="28" w:type="dxa"/>
          <w:bottom w:w="28" w:type="dxa"/>
          <w:right w:w="28" w:type="dxa"/>
        </w:tblCellMar>
      </w:tblPr>
      <w:tblGrid>
        <w:gridCol w:w="5521"/>
        <w:gridCol w:w="287"/>
        <w:gridCol w:w="973"/>
        <w:gridCol w:w="146"/>
        <w:gridCol w:w="146"/>
        <w:gridCol w:w="287"/>
        <w:gridCol w:w="973"/>
        <w:gridCol w:w="191"/>
      </w:tblGrid>
      <w:tr>
        <w:trPr/>
        <w:tc>
          <w:tcPr>
            <w:tcW w:w="552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recorded as a reduction to net revenue</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7,443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8,794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5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 recorded as advertising, promotional and selling expenses</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4,433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4,134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customer programs and incentives</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11,876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w:t>
            </w:r>
          </w:p>
        </w:tc>
        <w:tc>
          <w:tcPr>
            <w:tcW w:w="9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2"/>
              </w:rPr>
            </w:pPr>
            <w:r>
              <w:rPr>
                <w:rFonts w:ascii="Times New Roman" w:hAnsi="Times New Roman"/>
                <w:color w:val="000000"/>
                <w:sz w:val="22"/>
              </w:rPr>
              <w:t>12,928</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Costs recognized in net revenues include, but are not limited to, promotional discounts, sales incentives and certain other promotional activities. Costs recognized in advertising, promotional and selling expenses include point of sale materials, samples and advertising expenditures in local markets. These costs are recorded as incurred, generally when invoices are received; however certain estimates are required at the period end. Estimates are based on historical and projected experience for each type of program or customer and have historically been in line with actual costs incurred.</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D. Inventories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Inventories consist of raw materials, work in process and finished goods which are stated at the lower of cost, determined on the first-in, first-out basis, or net realizable value. Raw materials principally consist of hops, packaging, flavorings, fruit juices, and other brewing materials. The Company’s goal is to maintain on hand a supply of at least one year for essential hop varieties, in order to limit the risk of an unexpected reduction in supply. Inventories are generally classified as current assets. The Company classifies hops inventory in excess of two years of forecasted usage in other long-term assets. The cost elements of work in process and finished goods inventory consist of raw materials, direct labor and manufacturing overhead. Inventories consist of the following:</w:t>
      </w:r>
    </w:p>
    <w:p>
      <w:pPr>
        <w:pStyle w:val="TextBody"/>
        <w:bidi w:val="0"/>
        <w:jc w:val="left"/>
        <w:rPr/>
      </w:pPr>
      <w:r>
        <w:rPr/>
        <w:t> </w:t>
      </w:r>
    </w:p>
    <w:tbl>
      <w:tblPr>
        <w:tblW w:w="4972" w:type="dxa"/>
        <w:jc w:val="left"/>
        <w:tblInd w:w="0" w:type="dxa"/>
        <w:tblLayout w:type="fixed"/>
        <w:tblCellMar>
          <w:top w:w="28" w:type="dxa"/>
          <w:left w:w="28" w:type="dxa"/>
          <w:bottom w:w="28" w:type="dxa"/>
          <w:right w:w="28" w:type="dxa"/>
        </w:tblCellMar>
      </w:tblPr>
      <w:tblGrid>
        <w:gridCol w:w="2011"/>
        <w:gridCol w:w="146"/>
        <w:gridCol w:w="211"/>
        <w:gridCol w:w="781"/>
        <w:gridCol w:w="146"/>
        <w:gridCol w:w="146"/>
        <w:gridCol w:w="271"/>
        <w:gridCol w:w="869"/>
        <w:gridCol w:w="391"/>
      </w:tblGrid>
      <w:tr>
        <w:trPr/>
        <w:tc>
          <w:tcPr>
            <w:tcW w:w="2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December 27, </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24"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51,158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37,395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20,369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49,381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34,768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118,950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92,532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 term inventory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7,298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126,860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99,830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28, 2026 and December 27, 2025, the Company has recorded inventory obsolescence reserves of $10.1 million and $11.1 million, respectively.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E. Goodwill and Intangible Assets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Goodwill.</w:t>
      </w:r>
      <w:r>
        <w:rPr>
          <w:rFonts w:ascii="Times New Roman" w:hAnsi="Times New Roman"/>
          <w:color w:val="000000"/>
          <w:sz w:val="20"/>
        </w:rPr>
        <w:t xml:space="preserve"> No impairment of goodwill was recorded in any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i/>
          <w:color w:val="000000"/>
          <w:sz w:val="20"/>
        </w:rPr>
        <w:t>Intangible assets.</w:t>
      </w:r>
      <w:r>
        <w:rPr>
          <w:rFonts w:ascii="Times New Roman" w:hAnsi="Times New Roman"/>
          <w:color w:val="000000"/>
          <w:sz w:val="20"/>
        </w:rPr>
        <w:t xml:space="preserve"> The Company’s intangible assets as of March 28, 2026 and December 27, 2025 were as follows: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597"/>
        <w:gridCol w:w="146"/>
        <w:gridCol w:w="733"/>
        <w:gridCol w:w="146"/>
        <w:gridCol w:w="211"/>
        <w:gridCol w:w="676"/>
        <w:gridCol w:w="146"/>
        <w:gridCol w:w="146"/>
        <w:gridCol w:w="270"/>
        <w:gridCol w:w="811"/>
        <w:gridCol w:w="166"/>
        <w:gridCol w:w="146"/>
        <w:gridCol w:w="232"/>
        <w:gridCol w:w="745"/>
        <w:gridCol w:w="146"/>
        <w:gridCol w:w="146"/>
        <w:gridCol w:w="211"/>
        <w:gridCol w:w="676"/>
        <w:gridCol w:w="146"/>
        <w:gridCol w:w="146"/>
        <w:gridCol w:w="270"/>
        <w:gridCol w:w="811"/>
        <w:gridCol w:w="166"/>
        <w:gridCol w:w="146"/>
        <w:gridCol w:w="232"/>
        <w:gridCol w:w="745"/>
        <w:gridCol w:w="193"/>
      </w:tblGrid>
      <w:tr>
        <w:trPr/>
        <w:tc>
          <w:tcPr>
            <w:tcW w:w="15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35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As of 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49"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27, 2025</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b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Net Book</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Life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Value</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59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12,240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12,600</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59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14,753</w:t>
            </w:r>
          </w:p>
        </w:tc>
        <w:tc>
          <w:tcPr>
            <w:tcW w:w="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Amortization expense in the thirteen weeks ended March 28, 2026 was approximately $0.4 million. The Company expects to record future amortization expense as follows:</w:t>
      </w:r>
    </w:p>
    <w:p>
      <w:pPr>
        <w:pStyle w:val="TextBody"/>
        <w:bidi w:val="0"/>
        <w:jc w:val="left"/>
        <w:rPr/>
      </w:pPr>
      <w:r>
        <w:rPr/>
        <w:t> </w:t>
      </w:r>
    </w:p>
    <w:tbl>
      <w:tblPr>
        <w:tblW w:w="4433" w:type="dxa"/>
        <w:jc w:val="left"/>
        <w:tblInd w:w="0" w:type="dxa"/>
        <w:tblLayout w:type="fixed"/>
        <w:tblCellMar>
          <w:top w:w="28" w:type="dxa"/>
          <w:left w:w="28" w:type="dxa"/>
          <w:bottom w:w="28" w:type="dxa"/>
          <w:right w:w="28" w:type="dxa"/>
        </w:tblCellMar>
      </w:tblPr>
      <w:tblGrid>
        <w:gridCol w:w="2341"/>
        <w:gridCol w:w="146"/>
        <w:gridCol w:w="417"/>
        <w:gridCol w:w="1338"/>
        <w:gridCol w:w="191"/>
      </w:tblGrid>
      <w:tr>
        <w:trPr/>
        <w:tc>
          <w:tcPr>
            <w:tcW w:w="2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Fiscal Year</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 (in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3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3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14,330</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 Third-Party Production Payments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During the thirteen weeks ended March 28, 2026 and March 29, 2025, the Company produced approximately 95% and 85%, respectively, of its domestic volume at Company-owned production facilities. In the normal course of its business, the Company has historically entered into various production arrangements with other beverage companies. Pursuant to these arrangements, the Company generally supplies raw materials and packaging to those companies and incurs conversion fees for labor at the time the liquid is produced and packaged.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currently has production services agreements with subsidiaries of City Brewing Company, LLC (“City Brewing”). In August 2025, the Company extended the terms and amended certain fees under these agreements. The contracts now expire on December 31, 2028 and the Company retains the contractual right to extend these agreements annually through December 31, 2035. These City Brewing agreements include a minimum capacity availability commitment by City Brewing and the Company is obligated to meet annual minimum volume commitments and is subject to contractual shortfall fees, if these annual minimum volume commitments are not met.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thirteen weeks ended March 28, 2026 and March 29, 2025, City Brewing supplied approximately 5% and 15%, respectively, of the Company’s domestic shipment volume. In accordance with the production services agreement, the Company has made payments to City Brewing which were principally used for capital improvements at City Brewing facilities. These payments are being expensed over the terms of the agreements. During the thirteen weeks ended March 28, 2026 and March 29, 2025, third-party production prepayment expense was $0.6 million and $2.6 million, respectively. The remaining net book value of these third-party production prepayments is $6.5 million as of March 28, 2026, which is expected to be expensed to cost of goods sold ratably based on committed annual production capacity through December 31, 2028.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December of 2024, the Company announced an amendment and restatement in its entirety of an existing production agreement with a third-party supplier, Rauch North America Inc ("Rauch"). This amendment adjusted the existing production agreement to better match the Company’s future capacity requirements and resulted in increased production flexibility and more favorable termination rights to the Company in exchange for a $26 million cash payment to Rauch which was paid on December 23, 2024. As a result of the payment, the Company recorded a pre-tax contract settlement expense of $26 million in the fourth quarter of 2024.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amended and restated Rauch agreement includes quarterly minimum payments that total $4.1 million annually at zero volume and a termination fee of $5 million with 12 months written notice. The initial term of the agreement expires on December 31, 2031 with provisions to extend.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At current production volume projections, the Company believes that it will fall short of its future annual volume commitments under the City Brewing and Rauch agreements and will incur shortfall fees. The Company expenses the shortfall fees during the contractual period when such fees are incurred as a component of cost of goods sold. During the thirteen weeks ended March 28, 2026 and March 29, 2025, the Company recorded $1.0 million and $0.8 million, respectively, in shortfall fees. At current volume projections, the Company anticipates that it will recognize approximately $19 million of shortfall fees in the future years with $5 million forecasted to be expensed in the remainder of 2026 and $14 million expected to be expensed in future years thereafter.</w:t>
      </w:r>
    </w:p>
    <w:p>
      <w:pPr>
        <w:pStyle w:val="TextBody"/>
        <w:bidi w:val="0"/>
        <w:jc w:val="left"/>
        <w:rPr>
          <w:rFonts w:ascii="Times New Roman" w:hAnsi="Times New Roman"/>
          <w:color w:val="000000"/>
          <w:sz w:val="20"/>
        </w:rPr>
      </w:pPr>
      <w:r>
        <w:rPr>
          <w:rFonts w:ascii="Times New Roman" w:hAnsi="Times New Roman"/>
          <w:color w:val="000000"/>
          <w:sz w:val="20"/>
        </w:rPr>
        <w:t xml:space="preserve">As of March 28, 2026, if volume for the remaining term of the City Brewing, Rauch and other production arrangements was zero, the total contractual shortfall and termination fees, with advance notice as specified in the related contractual agreements, would total approximately $30 million with $11 million due in 2026 and $19 million due in future years thereafter. </w:t>
      </w:r>
    </w:p>
    <w:p>
      <w:pPr>
        <w:pStyle w:val="TextBody"/>
        <w:bidi w:val="0"/>
        <w:jc w:val="left"/>
        <w:rPr>
          <w:rFonts w:ascii="Times New Roman" w:hAnsi="Times New Roman"/>
          <w:color w:val="000000"/>
          <w:sz w:val="20"/>
        </w:rPr>
      </w:pPr>
      <w:r>
        <w:rPr>
          <w:rFonts w:ascii="Times New Roman" w:hAnsi="Times New Roman"/>
          <w:color w:val="000000"/>
          <w:sz w:val="20"/>
        </w:rPr>
        <w:t>The Company has regular discussions with its third-party production suppliers related to its future capacity needs and the terms of its contracts. Changes to volume estimates, future amendments or cancellations of existing contracts could accelerate or change total shortfall fees expected to be incurred.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G. Note Receivable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and City Brewing entered into a Loan and Security agreement on January 2, 2024 at which time payment of $20 million was made by the Company to City Brewing. Repayment of the note receivable plus an agreed investment return for a combined total of $22.4 million shall be credited to the Company through reductions of shortfall fees, subject to annual repayment limits and through other payments or credits, should owed shortfall fees be lower than these annual repayment limits. The final maturity date of the loan is December 31, 2028.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determined the fair value of the note receivable on the issuance date to be $18.6 million. The $1.4 million difference between the cash paid to City Brewing of $20.0 million and the fair value of the note of $18.6 million on issuance date has been recorded as a third-party production prepayment asset and will be recognized as a component of cost of goods sold over the term of the third-party production arrangement. The unamortized balance was $0.3 million as of March 28, 2026. Interest income on the note receivable is being recognized over the term of the loan, which is to be repaid in full no later than December 31, 2028.</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28, 2026, the Company had $7.7 million fair value remaining on the note receivable.</w:t>
      </w:r>
    </w:p>
    <w:p>
      <w:pPr>
        <w:pStyle w:val="TextBody"/>
        <w:bidi w:val="0"/>
        <w:jc w:val="left"/>
        <w:rPr/>
      </w:pPr>
      <w:r>
        <w:rPr/>
        <w:t> </w:t>
      </w:r>
    </w:p>
    <w:p>
      <w:pPr>
        <w:pStyle w:val="Heading1"/>
        <w:bidi w:val="0"/>
        <w:jc w:val="left"/>
        <w:rPr>
          <w:rFonts w:ascii="Times New Roman" w:hAnsi="Times New Roman"/>
          <w:color w:val="000000"/>
          <w:sz w:val="20"/>
        </w:rPr>
      </w:pPr>
      <w:r>
        <w:rPr>
          <w:rFonts w:ascii="Times New Roman" w:hAnsi="Times New Roman"/>
          <w:color w:val="000000"/>
          <w:sz w:val="20"/>
        </w:rPr>
        <w:t>H. Net (Loss) Income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calculates net (loss) income per share using the two-class method, which requires the Company to allocate net (loss) income to its Class A Common Shares, Class B Common Shares and unvested share-based payment awards that participate in dividends with common stock, in the calculation of net (loss) income per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A Common Stock has no voting rights, except (1) as required by law, (2) for the election of Class A Directors, and (3) that the approval of the holders of the Class A Common Stock is required for (a) certain future authorizations or issuances of additional securities which have rights senior to Class A Common Stock, (b) certain alterations of rights or terms of the Class A or Class B Common Stock as set forth in the Articles of Organization of the Company, (c) other amendments of the Articles of Organization of the Company, (d) certain mergers or consolidations with, or acquisitions of, other entities, and (e) sales or dispositions of any significant portion of the Company’s assets.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Class B Common Stock has full voting rights, including the right to (1) elect a majority of the members of the Company’s Board of Directors and (2) approve all (a) amendments to the Company’s Articles of Organization, (b) mergers or consolidations with, or acquisitions of, other entities, (c) sales or dispositions of any significant portion of the Company’s assets, and (d) equity-based and other executive compensation and other significant corporate matters. The Company’s Class B Common Stock is not listed for trading. Each share of the Class B Common Stock is freely convertible into one share of Class A Common Stock, upon request of the respective Class B holder, and participates equally in dividends.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unvested share-based payment awards include unvested shares (1) issued under the Company’s investment share program, which permits employees who have been with the Company for at least one year to purchase shares of Class A Common Stock and to purchase those shares at a discount ranging from 20% to 40% below market value based on years of employment starting after two years of employment, and (2) awarded as restricted stock units at the discretion of the Company’s Board of Directors. The investment shares vest over five years in equal number of shares and the restricted stock units generally vest over four years in equal number of shares. If a dividend is declared, the unvested shares would participate equally. See Note M for a discussion of the current year unvested stock awards and issuances.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Included in the computation of net (loss) income per diluted common share are dilutive outstanding stock options and restricted stock that are vested or expected to vest, to the extent such awards are dilutive. At its discretion, the Board of Directors grants stock options and restricted stock units to senior management and certain key employees. The terms of the employee stock options are determined by the Board of Directors at the time of grant. To date, stock options granted to employees vest over various service periods and/or based on the attainment of certain performance criteria and generally expire after ten years. The restricted stock units generally vest over four years in equal number of shares. Each restricted stock unit represents an unfunded and unsecured right to receive one share of Class A Stock upon satisfaction of the vesting criteria. The unvested shares participate equally in dividends, if declared, and are forfeitable. The Company also grants stock options and restricted stock units to its non-employee directors upon election or re-election to the Board of Directors. The number of option shares granted to non-employee directors is calculated based on a defined formula and these stock options vest immediately upon grant and expire after ten years. The restricted stock units granted to non-employee directors vest one year post grant date.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(Loss) Income per Common Share - Basic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computation of basic net (loss) income per share using the two-class method:</w:t>
      </w:r>
    </w:p>
    <w:p>
      <w:pPr>
        <w:pStyle w:val="TextBody"/>
        <w:bidi w:val="0"/>
        <w:jc w:val="left"/>
        <w:rPr/>
      </w:pPr>
      <w:r>
        <w:rPr/>
        <w:t> </w:t>
      </w:r>
    </w:p>
    <w:tbl>
      <w:tblPr>
        <w:tblW w:w="7106" w:type="dxa"/>
        <w:jc w:val="left"/>
        <w:tblInd w:w="0" w:type="dxa"/>
        <w:tblLayout w:type="fixed"/>
        <w:tblCellMar>
          <w:top w:w="28" w:type="dxa"/>
          <w:left w:w="28" w:type="dxa"/>
          <w:bottom w:w="28" w:type="dxa"/>
          <w:right w:w="28" w:type="dxa"/>
        </w:tblCellMar>
      </w:tblPr>
      <w:tblGrid>
        <w:gridCol w:w="3796"/>
        <w:gridCol w:w="146"/>
        <w:gridCol w:w="284"/>
        <w:gridCol w:w="1137"/>
        <w:gridCol w:w="187"/>
        <w:gridCol w:w="164"/>
        <w:gridCol w:w="238"/>
        <w:gridCol w:w="763"/>
        <w:gridCol w:w="391"/>
      </w:tblGrid>
      <w:tr>
        <w:trPr/>
        <w:tc>
          <w:tcPr>
            <w:tcW w:w="3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37"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77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Allocation of net (loss) income for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(116,141</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(28,698</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participating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shares for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8,369</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Unvested participating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11,277</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for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A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3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Net (Loss) Income per Common Share - Diluted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calculates diluted net (loss) income per share for common stock using the more dilutive of (1) the treasury stock method, or (2) the two-class method, which assumes the participating securities are not exercised.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thirteen weeks ended March 28, 2026, the Company was in a net loss position. As a result, all potential common shares were anti</w:t>
        <w:noBreakHyphen/>
        <w:t>dilutive, and diluted net loss per common share is the same as basic net loss per common share. Accordingly, the computation of diluted net loss per common share reflects the same allocation of net loss and the same weighted</w:t>
        <w:noBreakHyphen/>
        <w:t>average common shares outstanding as those used in the calculation of basic net loss per common share.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thirteen weeks ended March 29, 2025, the Company reported net income. Diluted net income per common share reflects the allocation of earnings to participating securities under the two</w:t>
        <w:noBreakHyphen/>
        <w:t>class method and the inclusion of dilutive share</w:t>
        <w:noBreakHyphen/>
        <w:t>based awards in the diluted weighted</w:t>
        <w:noBreakHyphen/>
        <w:t>average common shares outstanding.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sets forth the computation of diluted net (loss) income per common share for the periods presented: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2"/>
        <w:gridCol w:w="146"/>
        <w:gridCol w:w="211"/>
        <w:gridCol w:w="841"/>
        <w:gridCol w:w="166"/>
        <w:gridCol w:w="146"/>
        <w:gridCol w:w="146"/>
        <w:gridCol w:w="676"/>
        <w:gridCol w:w="146"/>
        <w:gridCol w:w="146"/>
        <w:gridCol w:w="211"/>
        <w:gridCol w:w="631"/>
        <w:gridCol w:w="166"/>
        <w:gridCol w:w="146"/>
        <w:gridCol w:w="250"/>
        <w:gridCol w:w="801"/>
        <w:gridCol w:w="146"/>
        <w:gridCol w:w="146"/>
        <w:gridCol w:w="146"/>
        <w:gridCol w:w="676"/>
        <w:gridCol w:w="146"/>
        <w:gridCol w:w="146"/>
        <w:gridCol w:w="211"/>
        <w:gridCol w:w="466"/>
        <w:gridCol w:w="191"/>
      </w:tblGrid>
      <w:tr>
        <w:trPr/>
        <w:tc>
          <w:tcPr>
            <w:tcW w:w="3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320"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Loss to</w:t>
              <w:br/>
              <w:t>Common</w:t>
              <w:br/>
              <w:t>Shareholders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Earnings to</w:t>
              <w:br/>
              <w:t>Common</w:t>
              <w:br/>
              <w:t>Shareholders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EPS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766" w:type="dxa"/>
            <w:gridSpan w:val="2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data)</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As reported - Class A Common Stock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(116,141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Class B 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participating shares (loss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Share-based awards - effect of dilutive common shares (income periods only)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earnings effect of unvested participating shares (income periods only)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common share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10,467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24,350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11,259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thirteen weeks ended March 28, 2026, in accordance with the two-class method, weighted</w:t>
        <w:noBreakHyphen/>
        <w:t>average stock options to purchase 251,438 shares were outstanding but not included in computing dilutive income per common share because the net loss position of the Company made them anti</w:t>
        <w:noBreakHyphen/>
        <w:t>dilutive.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For the thirteen weeks ended March 29, 2025, in accordance with the two-class method, weighted-average stock options to purchase 162,934 shares were outstanding but not included in computing dilutive income per common share because their effects were anti-dilutive.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Additionally, performance-based stock options to purchase 40,103 shares of Class A Common Stock and 85,209 performance-based stock awards were outstanding as of March 29, 2025, but not included in computing diluted income per common share because the performance criteria were not met as of the end of the reporting period.</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I. Commitments and Contingencies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Contractual Obligations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28, 2026, projected cash outflows under non-cancellable contractual obligations are as follows:</w:t>
      </w:r>
    </w:p>
    <w:p>
      <w:pPr>
        <w:pStyle w:val="TextBody"/>
        <w:bidi w:val="0"/>
        <w:jc w:val="left"/>
        <w:rPr/>
      </w:pPr>
      <w:r>
        <w:rPr/>
        <w:t> </w:t>
      </w:r>
    </w:p>
    <w:tbl>
      <w:tblPr>
        <w:tblW w:w="5918" w:type="dxa"/>
        <w:jc w:val="left"/>
        <w:tblInd w:w="0" w:type="dxa"/>
        <w:tblLayout w:type="fixed"/>
        <w:tblCellMar>
          <w:top w:w="28" w:type="dxa"/>
          <w:left w:w="28" w:type="dxa"/>
          <w:bottom w:w="28" w:type="dxa"/>
          <w:right w:w="28" w:type="dxa"/>
        </w:tblCellMar>
      </w:tblPr>
      <w:tblGrid>
        <w:gridCol w:w="4456"/>
        <w:gridCol w:w="146"/>
        <w:gridCol w:w="239"/>
        <w:gridCol w:w="886"/>
        <w:gridCol w:w="191"/>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Commitments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Brand support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Ingredients and packaging (excluding hops and malt)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Hops and malt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28,233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Equipment and machinery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commitments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226,699</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to pay $152.8 million of these obligations in the remainder of fiscal 2026, $22.7 million in fiscal 2027, $12.6 million in fiscal 2028, and $38.6 million in fiscal 2029 and thereafter. The commitment amounts exclude any impact related to the tariff programs announcement by the U.S. government.</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Litigation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is party to legal proceedings and claims, including class action claims, where significant damages are asserted against it. Given the inherent uncertainty of litigation, it is possible that the Company could incur liabilities as a consequence of these claims, which may or may not have a material adverse effect on the Company’s financial condition or the results of its operations. The Company accrues loss contingencies if, in the opinion of management and its legal counsel, the risk of loss is probable and the loss can be estimated. Material pending legal proceedings are discussed below.</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Supplier Dispute.</w:t>
      </w:r>
      <w:r>
        <w:rPr>
          <w:rFonts w:ascii="Times New Roman" w:hAnsi="Times New Roman"/>
          <w:color w:val="000000"/>
          <w:sz w:val="20"/>
        </w:rPr>
        <w:t xml:space="preserve"> As previously reported, including in the Company’s Annual Report on Form 10-K for the year ended December 27, 2025, on December 31, 2022, Ardagh Metal Packaging USA Corp. (“Ardagh”) filed an action against the Company alleging, among other things, that the Company had failed or would fail to purchase contractual minimum volumes of certain aluminum beverage can containers in 2021 to 2026. The trial on the dispute commenced on March 23, 2026 and on April 6, 2026, the jury returned a verdict awarding damages to Ardagh. As a result of the verdict, during the first quarter of 2026 the Company recorded a non-recurring pre-tax litigation expense of $175.5 million and related pre-judgement interest expense of $36.5 million. The pre-judgement interest has not yet been determined and potential outcomes range between zero and $36.5 million. In addition, the Company recorded $4.0 million of legal fees within general and administrative expenses. The total pre</w:t>
        <w:noBreakHyphen/>
        <w:t>tax impact of these items was $216.0 million. As of March 29, 2026, the $216.0 million litigation-related liability was included in accrued expenses and other current liabilities on the accompanying condensed consolidated balance sheet. The recorded amounts are within the range previously disclosed by the Company of between zero and $300 million, plus interest if assessed.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denies that it breached the terms of the parties’ contract and intends to pursue all available post</w:t>
        <w:noBreakHyphen/>
        <w:t>trial motions and appellate remedies. As of the filing date of this Quarterly Report, a final judgment has not been entered and post</w:t>
        <w:noBreakHyphen/>
        <w:t>trial motions have not yet been filed. The Company cannot estimate when or if damages or interest will ultimately be paid or when this matter will ultimately be resolved.</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J. Income Taxes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presents the Company’s effective income tax rates for the thirteen weeks ended March 28, 2026 and March 29, 2025:</w:t>
      </w:r>
    </w:p>
    <w:p>
      <w:pPr>
        <w:pStyle w:val="TextBody"/>
        <w:bidi w:val="0"/>
        <w:jc w:val="left"/>
        <w:rPr/>
      </w:pPr>
      <w:r>
        <w:rPr/>
        <w:t> </w:t>
      </w:r>
    </w:p>
    <w:tbl>
      <w:tblPr>
        <w:tblW w:w="3955" w:type="dxa"/>
        <w:jc w:val="left"/>
        <w:tblInd w:w="0" w:type="dxa"/>
        <w:tblLayout w:type="fixed"/>
        <w:tblCellMar>
          <w:top w:w="28" w:type="dxa"/>
          <w:left w:w="28" w:type="dxa"/>
          <w:bottom w:w="28" w:type="dxa"/>
          <w:right w:w="28" w:type="dxa"/>
        </w:tblCellMar>
      </w:tblPr>
      <w:tblGrid>
        <w:gridCol w:w="1501"/>
        <w:gridCol w:w="146"/>
        <w:gridCol w:w="1261"/>
        <w:gridCol w:w="146"/>
        <w:gridCol w:w="901"/>
      </w:tblGrid>
      <w:tr>
        <w:trPr/>
        <w:tc>
          <w:tcPr>
            <w:tcW w:w="1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0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r>
      <w:tr>
        <w:trPr/>
        <w:tc>
          <w:tcPr>
            <w:tcW w:w="1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w:t>
              <w:br/>
              <w:t>2025</w:t>
            </w:r>
          </w:p>
        </w:tc>
      </w:tr>
      <w:tr>
        <w:trPr/>
        <w:tc>
          <w:tcPr>
            <w:tcW w:w="15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Effective tax rate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23.1%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31.9%</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the thirteen weeks ended March 28, 2026, the Company recorded an income tax benefit, resulting in an effective tax rate of 23.1%, compared to an income tax provision with an effective tax rate of 31.9% for the thirteen weeks ended March 29, 2025. The change in the effective tax rate period over period was primarily driven by a pre</w:t>
        <w:noBreakHyphen/>
        <w:t>tax loss in the first quarter of 2026 compared to pre</w:t>
        <w:noBreakHyphen/>
        <w:t>tax income in the first quarter of 2025, as well as changes in the impact of non</w:t>
        <w:noBreakHyphen/>
        <w:t>deductible expenses.</w:t>
      </w:r>
    </w:p>
    <w:p>
      <w:pPr>
        <w:pStyle w:val="TextBody"/>
        <w:bidi w:val="0"/>
        <w:jc w:val="left"/>
        <w:rPr>
          <w:rFonts w:ascii="Times New Roman" w:hAnsi="Times New Roman"/>
          <w:sz w:val="20"/>
        </w:rPr>
      </w:pPr>
      <w:r>
        <w:rPr>
          <w:rFonts w:ascii="Times New Roman" w:hAnsi="Times New Roman"/>
          <w:color w:val="FF0000"/>
          <w:sz w:val="20"/>
        </w:rPr>
        <w:br/>
      </w:r>
      <w:r>
        <w:rPr>
          <w:rFonts w:ascii="Times New Roman" w:hAnsi="Times New Roman"/>
          <w:color w:val="000000"/>
          <w:sz w:val="20"/>
        </w:rPr>
        <w:t>As of both March 28, 2026 and December 27, 2025, the Company had approximately $0.5 million of unrecognized income tax benefits.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practice is to classify interest and penalties related to income tax matters in income tax expense. As of March 28, 2026 and December 27, 2025, the Company had approximately $0.1 million accrued for interest and penalties recorded in other liabilities.</w:t>
      </w:r>
    </w:p>
    <w:p>
      <w:pPr>
        <w:pStyle w:val="TextBody"/>
        <w:bidi w:val="0"/>
        <w:jc w:val="left"/>
        <w:rPr>
          <w:rFonts w:ascii="Times New Roman" w:hAnsi="Times New Roman"/>
          <w:sz w:val="20"/>
        </w:rPr>
      </w:pPr>
      <w:r>
        <w:rPr>
          <w:rFonts w:ascii="Times New Roman" w:hAnsi="Times New Roman"/>
          <w:color w:val="FF0000"/>
          <w:sz w:val="20"/>
        </w:rPr>
        <w:br/>
      </w:r>
      <w:r>
        <w:rPr>
          <w:rFonts w:ascii="Times New Roman" w:hAnsi="Times New Roman"/>
          <w:color w:val="000000"/>
          <w:sz w:val="20"/>
        </w:rPr>
        <w:t xml:space="preserve">The Company's federal income tax returns remain subject to examination for three years. The Company’s state income tax returns remain subject to examination for three or four years depending on the state’s statute of limitations. The Company is currently under one state income tax audit as of March 28,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K. Line of Credit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December 2022, the Company amended its credit facility in place that provides for a $150.0 million revolving line of credit to extend the maturity date to December 16, 2027. Under the terms of the amended agreement, the Company may elect an interest rate for borrowings under the credit facility based on the applicable secured overnight financing rate ("SOFR") plus 1.1%. As of March 28, 2026, no borrowings were outstanding. As of March 28, 2026 and December 27, 2025, the Company was not in violation of any of its financial covenants to the lender under the credit facility and the unused balance of $150.0 million on the line of credit was available to the Company for future borrowings.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 Fair Value Measures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defines fair value as the price that would be received to sell an asset or be paid to transfer a liability in an orderly transaction between market participants at the measurement date. The Company applies the following fair value hierarchy, which prioritizes the inputs used to measure fair value into three levels and bases the categorization within the hierarchy upon the lowest level of input that is available and significant to the fair value measurement. The hierarchy gives the highest priority to unadjusted quoted prices in active markets for identical assets or liabilities (Level 1 measurements) and the lowest priority to unobservable inputs (Level 3 measurements).</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1 — Level 1 inputs are quoted prices (unadjusted) in active markets for identical assets or liabilities that the reporting entity has the ability to access at the measurement date.</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Level 2 — Level 2 inputs are inputs other than quoted prices included within Level 1 that are observable for the asset or liability, either directly or indirectly. If the asset or liability has a specified (contractual) term, a Level 2 input must be observable for substantially the full term of the asset or liability.</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0"/>
        </w:rPr>
      </w:pPr>
      <w:r>
        <w:rPr>
          <w:rFonts w:ascii="Times New Roman" w:hAnsi="Times New Roman"/>
          <w:color w:val="000000"/>
          <w:sz w:val="20"/>
        </w:rPr>
        <w:t>Level 3 — Level 3 inputs are unobservable inputs for the asset or liability in which there is little, if any, market activity for the asset or liability at the measurement date.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cash and cash equivalents are held in money market funds. These money market funds are measured at fair value on a recurring basis and are classified within Level 1 of the fair value hierarchy because they are valued using quoted market prices. The money market funds are invested substantially in United States Treasury and government securities. The Company does not adjust the quoted market price for such financial instruments. Cash, accounts receivable, and accounts payable are carried at their cost, which approximates fair value, because of their short-term nature. Other accrued expenses and liabilities, including accrued litigation</w:t>
        <w:noBreakHyphen/>
        <w:t>related loss contingencies, accrued interest, and accrued legal costs, are measured at accrued amounts in accordance with their applicable accounting guidance and are not required to be recorded at fair value; accordingly, these amounts are excluded from the Company’s fair value measurements and related hierarchy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28, 2026 and December 27, 2025, the Company had money market funds with a “Triple A” rated money market fund. The Company considers the “Triple A” rated money market fund to be a large, highly-rated investment-grade institution. As of March 28, 2026 and December 27, 2025, the Company’s cash and cash equivalents balance was $164.1 million and $223.4 million, respectively, including money market funds amounting to $157.8 million and $216.7 million, respectively.</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Non-Recurring Fair Value Measurement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fair value as of the issuance date of the Company's note receivable is classified within Level 2 of the fair value hierarchy as the fair value was partially derived from publicly quoted inputs of market interest rates for a loan of similar terms, provisions, and maturity. See Note G for further discussion on the note receivable.</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 Common Stock and Stock-Based Compensation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Option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Information related to stock options under the Restated Employee Equity Incentive Plan and the Stock Option Plan for Non-Employee Directors and upper management is summarized as follows:</w:t>
      </w:r>
    </w:p>
    <w:p>
      <w:pPr>
        <w:pStyle w:val="TextBody"/>
        <w:bidi w:val="0"/>
        <w:jc w:val="left"/>
        <w:rPr/>
      </w:pPr>
      <w:r>
        <w:rPr/>
        <w:t> </w:t>
      </w:r>
    </w:p>
    <w:tbl>
      <w:tblPr>
        <w:tblW w:w="9968" w:type="dxa"/>
        <w:jc w:val="left"/>
        <w:tblInd w:w="0" w:type="dxa"/>
        <w:tblLayout w:type="fixed"/>
        <w:tblCellMar>
          <w:top w:w="28" w:type="dxa"/>
          <w:left w:w="28" w:type="dxa"/>
          <w:bottom w:w="28" w:type="dxa"/>
          <w:right w:w="28" w:type="dxa"/>
        </w:tblCellMar>
      </w:tblPr>
      <w:tblGrid>
        <w:gridCol w:w="4201"/>
        <w:gridCol w:w="146"/>
        <w:gridCol w:w="146"/>
        <w:gridCol w:w="781"/>
        <w:gridCol w:w="166"/>
        <w:gridCol w:w="146"/>
        <w:gridCol w:w="267"/>
        <w:gridCol w:w="858"/>
        <w:gridCol w:w="146"/>
        <w:gridCol w:w="146"/>
        <w:gridCol w:w="271"/>
        <w:gridCol w:w="869"/>
        <w:gridCol w:w="146"/>
        <w:gridCol w:w="146"/>
        <w:gridCol w:w="211"/>
        <w:gridCol w:w="931"/>
        <w:gridCol w:w="39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Exercise 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w:t>
              <w:br/>
              <w:t>Average</w:t>
              <w:br/>
              <w:t>Remaining</w:t>
              <w:br/>
              <w:t>Contractual</w:t>
              <w:br/>
              <w:t>Term 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Aggregate</w:t>
              <w:br/>
              <w:t>Intrinsic</w:t>
              <w:br/>
              <w:t>Value</w:t>
              <w:br/>
              <w:t>(in thousands)</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289,550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 Expired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(37,418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252,132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319.26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1,107,354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Exercisable at March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166,528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361.81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975,539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 and expected to vest at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242,501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325.59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1,088,900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Of the total options outstanding as of March 28, 2026,</w:t>
      </w:r>
      <w:r>
        <w:rPr>
          <w:rFonts w:ascii="Times New Roman" w:hAnsi="Times New Roman"/>
          <w:color w:val="FF0000"/>
          <w:sz w:val="20"/>
        </w:rPr>
        <w:t xml:space="preserve"> </w:t>
      </w:r>
      <w:r>
        <w:rPr>
          <w:rFonts w:ascii="Times New Roman" w:hAnsi="Times New Roman"/>
          <w:color w:val="000000"/>
          <w:sz w:val="20"/>
        </w:rPr>
        <w:t xml:space="preserve">6,930 shares were performance-based options for which the performance criteria had yet to be achieved. </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Non-Vested Shares Activity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vesting activities of shares issued under the investment share program and restricted stock units:</w:t>
      </w:r>
    </w:p>
    <w:p>
      <w:pPr>
        <w:pStyle w:val="TextBody"/>
        <w:bidi w:val="0"/>
        <w:jc w:val="left"/>
        <w:rPr/>
      </w:pPr>
      <w:r>
        <w:rPr/>
        <w:t> </w:t>
      </w:r>
    </w:p>
    <w:tbl>
      <w:tblPr>
        <w:tblW w:w="7405" w:type="dxa"/>
        <w:jc w:val="left"/>
        <w:tblInd w:w="0" w:type="dxa"/>
        <w:tblLayout w:type="fixed"/>
        <w:tblCellMar>
          <w:top w:w="28" w:type="dxa"/>
          <w:left w:w="28" w:type="dxa"/>
          <w:bottom w:w="28" w:type="dxa"/>
          <w:right w:w="28" w:type="dxa"/>
        </w:tblCellMar>
      </w:tblPr>
      <w:tblGrid>
        <w:gridCol w:w="2866"/>
        <w:gridCol w:w="146"/>
        <w:gridCol w:w="222"/>
        <w:gridCol w:w="1188"/>
        <w:gridCol w:w="166"/>
        <w:gridCol w:w="146"/>
        <w:gridCol w:w="542"/>
        <w:gridCol w:w="1738"/>
        <w:gridCol w:w="391"/>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73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 of 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8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Weighted Average Fair Value</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December 27,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265.97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63,510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210.34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Forfeited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(19,675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3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Non-vested at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218,296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238.32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Of the total non-vested shares as of March 28, 2026, 62,641 shares were performance-based shares for which the performance criteria had yet to be achieved.</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On March 1, 2026, the Company granted a combined 52,427 shares of restricted stock units to certain officers, senior managers and key employees. Of the restricted stock units granted, 6,507 had performance-based vesting criteria. The remainder of restricted stock units granted on March 1, 2026 vests ratably over service periods of four years. Additionally, on March 1, 2026, employees elected to purchase a combined 11,083 shares under the Company’s investment share program. The weighted average fair value of the restricted stock units and investment shares, which are sold to employees at discount under its investment share program, was $226.78 and $132.59 per share, respectively.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Weighted average assumptions used to estimate fair values of shares purchased under the Company's investment share program are as follows:</w:t>
      </w:r>
    </w:p>
    <w:p>
      <w:pPr>
        <w:pStyle w:val="TextBody"/>
        <w:bidi w:val="0"/>
        <w:jc w:val="left"/>
        <w:rPr/>
      </w:pPr>
      <w:r>
        <w:rPr/>
        <w:t> </w:t>
      </w:r>
    </w:p>
    <w:tbl>
      <w:tblPr>
        <w:tblW w:w="4088" w:type="dxa"/>
        <w:jc w:val="left"/>
        <w:tblInd w:w="0" w:type="dxa"/>
        <w:tblLayout w:type="fixed"/>
        <w:tblCellMar>
          <w:top w:w="28" w:type="dxa"/>
          <w:left w:w="28" w:type="dxa"/>
          <w:bottom w:w="28" w:type="dxa"/>
          <w:right w:w="28" w:type="dxa"/>
        </w:tblCellMar>
      </w:tblPr>
      <w:tblGrid>
        <w:gridCol w:w="3121"/>
        <w:gridCol w:w="146"/>
        <w:gridCol w:w="181"/>
        <w:gridCol w:w="449"/>
        <w:gridCol w:w="19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volatility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Risk-free interest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3.4%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Expected dividends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factor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Discount for post-vesting restrictions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0" w:type="dxa"/>
            <w:gridSpan w:val="2"/>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jc w:val="left"/>
        <w:rPr>
          <w:rFonts w:ascii="Times New Roman" w:hAnsi="Times New Roman"/>
          <w:i/>
          <w:color w:val="000000"/>
          <w:sz w:val="20"/>
        </w:rPr>
      </w:pPr>
      <w:r>
        <w:rPr>
          <w:rFonts w:ascii="Times New Roman" w:hAnsi="Times New Roman"/>
          <w:i/>
          <w:color w:val="000000"/>
          <w:sz w:val="20"/>
        </w:rPr>
        <w:t>Stock-Based Compensation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provides information regarding stock-based compensation expense included in operating expenses in the accompanying condensed consolidated statements of comprehensive operations:</w:t>
      </w:r>
    </w:p>
    <w:p>
      <w:pPr>
        <w:pStyle w:val="TextBody"/>
        <w:bidi w:val="0"/>
        <w:jc w:val="left"/>
        <w:rPr/>
      </w:pPr>
      <w:r>
        <w:rPr/>
        <w:t> </w:t>
      </w:r>
    </w:p>
    <w:tbl>
      <w:tblPr>
        <w:tblW w:w="8355" w:type="dxa"/>
        <w:jc w:val="left"/>
        <w:tblInd w:w="0" w:type="dxa"/>
        <w:tblLayout w:type="fixed"/>
        <w:tblCellMar>
          <w:top w:w="28" w:type="dxa"/>
          <w:left w:w="28" w:type="dxa"/>
          <w:bottom w:w="28" w:type="dxa"/>
          <w:right w:w="28" w:type="dxa"/>
        </w:tblCellMar>
      </w:tblPr>
      <w:tblGrid>
        <w:gridCol w:w="5611"/>
        <w:gridCol w:w="146"/>
        <w:gridCol w:w="340"/>
        <w:gridCol w:w="920"/>
        <w:gridCol w:w="146"/>
        <w:gridCol w:w="146"/>
        <w:gridCol w:w="230"/>
        <w:gridCol w:w="625"/>
        <w:gridCol w:w="191"/>
      </w:tblGrid>
      <w:tr>
        <w:trPr/>
        <w:tc>
          <w:tcPr>
            <w:tcW w:w="56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w:t>
              <w:b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0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advertising, promotional and selling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Amounts included in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5,870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Stock Repurchases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 began a share repurchase program. Under this program, the Company's Board of Directors has authorized the repurchase of the Company's Class A Stock. On October 2, 2024, the Board of Directors authorized an increase in the aggregate expenditure limit for the Company’s stock repurchase program by $400.0 million, increasing the limit from $1.2 billion to $1.6 billion. The Board of Directors did not specify a date upon which the total authorization would expire and, in the future, can further increase the authorized amount. Share repurchases under this program for the periods included herein were effected through open market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thirteen weeks ended March 28, 2026, the Company repurchased and subsequently retired 107,380 shares of its Class A Common Stock for an aggregate purchase price of $23.8 million. As of March 28, 2026, the Company had repurchased a cumulative total of approximately 15.9 million shares of its Class A Common Stock for an aggregate purchase price of approximately $1.395 billion and had approximately $205 million remaining on the $1.6 billion stock repurchase expenditure limit set by the Board of Directors.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 Segment Reporting</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Operating segments are defined as components of an enterprise about which separate discrete information is available for evaluation by the chief operating decision maker ("CODM"), or decision making group, in deciding how to allocate resources in assessing performance. The Company has one operating segment and one reportable segment that produces and sells alcohol beverages under various brands. All brands are predominantly beverages that are manufactured using similar production processes, have comparable alcohol content, generally fall under the same regulatory environment, and are sold to the same types of customers in similar size quantities at similar price points, with similar profit margins, and through the same channels of distribution. The Company’s CODM is the chief executive officer.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accounting policies of the segment are the same as those described in the summary of significant accounting policies. The CODM assesses performance for the segment based on net (loss) income, which is reported on the income statement as consolidated net (loss) income. The measure of segment assets is reported on the balance sheet as total consolidated assets.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table below summarizes the Company’s measures of segment net (loss) income that the CODM considered in determining how to allocate resources and assess segment performance for the thirteen weeks ended March 28, 2026, and March 29, 2025:</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816"/>
        <w:gridCol w:w="146"/>
        <w:gridCol w:w="252"/>
        <w:gridCol w:w="1008"/>
        <w:gridCol w:w="166"/>
        <w:gridCol w:w="146"/>
        <w:gridCol w:w="268"/>
        <w:gridCol w:w="992"/>
        <w:gridCol w:w="411"/>
      </w:tblGrid>
      <w:tr>
        <w:trPr/>
        <w:tc>
          <w:tcPr>
            <w:tcW w:w="6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 2025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83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433,930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453,867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Cost of goods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219,969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234,604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Salaries and benefits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68,008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Advertising, promotional, and selling expenses (excluding salaries and benefits)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98,333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 expenses (excluding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19,146</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brewery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Litigation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8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 (benefit)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11,431</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Segment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(145,261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24,412</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O. Related Party Transactions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In 2019, as part of the merger with Dogfish Head, the Company entered into a lease with the Dogfish Head founders and other owners of buildings used in certain of the Company’s restaurant operations. The lease is for ten years with renewal options. The total payments due under the initial ten year term is $3.6 million. Total related party expense recognized for the thirteen weeks ended March 28, 2026 and March 29, 2025 related to the lease was approximately $0.1 million. Additionally, during the thirteen weeks ended March 28, 2026 and March 29, 2025, the Company incurred expenses of less than $0.1 million to various other suppliers affiliated with the Dogfish Head founders.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Effective August 15, 2025, Jim Koch assumed the role of Chief Executive Officer, succeeding Michael Spillane. Prior to this appointment, Mr. Koch served as Brewer, Founder, and Chairman of the Board, during which time in 2025, he did not receive salary, bonus, or equity compensation. Upon assuming the CEO role, Mr. Koch has elected to continue forgoing salary and bonus, and no new equity awards have been granted. He also holds no unvested equity awards that would be subject to expense recognition.</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was party to an International Brand Rights License Agreement, dated May 8, 2019 (the “License Agreement”), with Calagione International, LLC (“CILLC”), an entity owned and controlled by Director Samuel A. Calagione, III. The License Agreement, which was entered into in connection with the Dogfish Head Merger, granted CILLC exclusive rights to the Dogfish Head trademarks outside of the United States and Canada for a ten-year period, automatically renewable on an indefinite basis. On October 22, 2025, the Company and CILLC entered into a letter agreement terminating the License Agreement, reverting the rights back to the Company in exchange for a one-time payment of $0.1 million.</w:t>
      </w:r>
    </w:p>
    <w:p>
      <w:pPr>
        <w:pStyle w:val="TextBody"/>
        <w:bidi w:val="0"/>
        <w:jc w:val="left"/>
        <w:rPr/>
      </w:pPr>
      <w:r>
        <w:rPr/>
        <w:t> </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bookmarkStart w:id="10" w:name="item_2__managements_discussion_analysis_"/>
      <w:bookmarkEnd w:id="10"/>
      <w:r>
        <w:rPr>
          <w:rFonts w:ascii="Times New Roman" w:hAnsi="Times New Roman"/>
          <w:b/>
          <w:color w:val="000000"/>
          <w:sz w:val="20"/>
        </w:rPr>
        <w:t>Item 2. MANAGEMENT’S DISCUSSION AND ANALYSIS OF FINANCIAL CONDITION AND RESULTS OF OPERATIONS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is a discussion of the significant factors affecting the consolidated operating results, financial condition and liquidity and cash flows of the Company for the thirteen week periods ended March 28, 2026, as compared to the thirteen week period ended March 29, 2025. This discussion should be read in conjunction with the Management’s Discussion and Analysis of Financial Condition and Results of Operations, and the Consolidated Financial Statements of the Company and Notes thereto included in the Company’s Annual Report on Form 10-K for the fiscal year ended December 27, 2025.</w:t>
      </w:r>
    </w:p>
    <w:p>
      <w:pPr>
        <w:pStyle w:val="TextBody"/>
        <w:bidi w:val="0"/>
        <w:jc w:val="both"/>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jc w:val="both"/>
        <w:rPr/>
      </w:pPr>
      <w:r>
        <w:rPr/>
        <w:t> </w:t>
      </w:r>
    </w:p>
    <w:p>
      <w:pPr>
        <w:pStyle w:val="TextBody"/>
        <w:bidi w:val="0"/>
        <w:jc w:val="both"/>
        <w:rPr>
          <w:rFonts w:ascii="Times New Roman" w:hAnsi="Times New Roman"/>
          <w:b/>
          <w:i/>
          <w:color w:val="000000"/>
          <w:sz w:val="20"/>
        </w:rPr>
      </w:pPr>
      <w:r>
        <w:rPr>
          <w:rFonts w:ascii="Times New Roman" w:hAnsi="Times New Roman"/>
          <w:b/>
          <w:i/>
          <w:color w:val="000000"/>
          <w:sz w:val="20"/>
        </w:rPr>
        <w:t>Thirteen Weeks Ended March 28, 2026 compared to Thirteen Weeks Ended March 29, 2025</w:t>
      </w:r>
    </w:p>
    <w:p>
      <w:pPr>
        <w:pStyle w:val="TextBody"/>
        <w:bidi w:val="0"/>
        <w:jc w:val="both"/>
        <w:rPr/>
      </w:pPr>
      <w:r>
        <w:rPr/>
        <w:t> </w:t>
      </w:r>
    </w:p>
    <w:tbl>
      <w:tblPr>
        <w:tblW w:w="12952" w:type="dxa"/>
        <w:jc w:val="left"/>
        <w:tblInd w:w="0" w:type="dxa"/>
        <w:tblLayout w:type="fixed"/>
        <w:tblCellMar>
          <w:top w:w="28" w:type="dxa"/>
          <w:left w:w="28" w:type="dxa"/>
          <w:bottom w:w="28" w:type="dxa"/>
          <w:right w:w="28" w:type="dxa"/>
        </w:tblCellMar>
      </w:tblPr>
      <w:tblGrid>
        <w:gridCol w:w="1111"/>
        <w:gridCol w:w="146"/>
        <w:gridCol w:w="196"/>
        <w:gridCol w:w="751"/>
        <w:gridCol w:w="166"/>
        <w:gridCol w:w="146"/>
        <w:gridCol w:w="196"/>
        <w:gridCol w:w="661"/>
        <w:gridCol w:w="166"/>
        <w:gridCol w:w="146"/>
        <w:gridCol w:w="156"/>
        <w:gridCol w:w="550"/>
        <w:gridCol w:w="256"/>
        <w:gridCol w:w="146"/>
        <w:gridCol w:w="196"/>
        <w:gridCol w:w="691"/>
        <w:gridCol w:w="146"/>
        <w:gridCol w:w="146"/>
        <w:gridCol w:w="196"/>
        <w:gridCol w:w="601"/>
        <w:gridCol w:w="146"/>
        <w:gridCol w:w="146"/>
        <w:gridCol w:w="156"/>
        <w:gridCol w:w="550"/>
        <w:gridCol w:w="256"/>
        <w:gridCol w:w="146"/>
        <w:gridCol w:w="196"/>
        <w:gridCol w:w="751"/>
        <w:gridCol w:w="166"/>
        <w:gridCol w:w="146"/>
        <w:gridCol w:w="168"/>
        <w:gridCol w:w="658"/>
        <w:gridCol w:w="256"/>
        <w:gridCol w:w="146"/>
        <w:gridCol w:w="196"/>
        <w:gridCol w:w="661"/>
        <w:gridCol w:w="166"/>
        <w:gridCol w:w="146"/>
        <w:gridCol w:w="168"/>
        <w:gridCol w:w="658"/>
        <w:gridCol w:w="30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10"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Thirteen Weeks Ended</w:t>
              <w:br/>
              <w:t>(in thousands, except per barrel)</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3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28, 2026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74" w:type="dxa"/>
            <w:gridSpan w:val="10"/>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29, 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 barrel</w:t>
              <w:br/>
              <w:t>% change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Barrels sold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706"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barrel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 of net</w:t>
              <w:br/>
              <w:t>revenue</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433,930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277.98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453,867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100.0</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(19,937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 of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50.7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234,604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139.90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0.7</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219,263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Advertising, promotional, and selling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140,076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32.3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137,535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9.4</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52,303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47,952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17.2</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Impairment of brewery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Litigation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48.9</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212,035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135.83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&gt;100%</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404,416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259.07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185,487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110.60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218,929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134.2</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(190,455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(122.01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(663.9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(705.8</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2,067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before income tax (benefit) provision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(188,928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35,843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(224,771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(627.1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(142.40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(666.4</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tax (benefit)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(43,667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(27.97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(55,098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(482.0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(510.1</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(145,261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(33.5</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24,412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(169,673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(695.0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(107.61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(739.6</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Net revenue.</w:t>
      </w:r>
      <w:r>
        <w:rPr>
          <w:rFonts w:ascii="Times New Roman" w:hAnsi="Times New Roman"/>
          <w:color w:val="000000"/>
          <w:sz w:val="20"/>
        </w:rPr>
        <w:t xml:space="preserve"> Net revenue decreased by $19.9 million, or 4.4%, to $433.9 million for the thirteen weeks ended March 28, 2026, as compared to $453.9 million for the thirteen weeks ended March 29, 2025 primarily due to decreased sales volume impacts of $31.4 million, partially offset by increased pricing of $9.1 million, and favorable product mix of $0.9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 xml:space="preserve">Volume. </w:t>
      </w:r>
      <w:r>
        <w:rPr>
          <w:rFonts w:ascii="Times New Roman" w:hAnsi="Times New Roman"/>
          <w:color w:val="000000"/>
          <w:sz w:val="20"/>
        </w:rPr>
        <w:t>Total shipment volume decreased by 6.9% to 1,561,000 barrels for the thirteen weeks ended March 28, 2026, as compared to 1,677,000 barrels for the thirteen weeks ended March 29, 2025. The decrease was primarily driven by declines in the Twisted Tea and Truly brands, partially offset by growth in the Sun Cruiser brand. The first quarter of 2026 reflects challenging year</w:t>
        <w:noBreakHyphen/>
        <w:t>over</w:t>
        <w:noBreakHyphen/>
        <w:t xml:space="preserve">year comparisons, as distributors built inventories in the first quarter of 2025 to support the Sun Cruiser and Truly Unruly innovations, as well as modestly lower overall distributor inventory levels in 2026 resulting from improved supply chain responsiveness.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 Company believes distributor inventory as of March 28, 2026 was at an appropriate level for each of its brands and averaged approximately four and a half weeks on hand compared to five weeks at the end of the first quarter of 2025.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i/>
          <w:color w:val="000000"/>
          <w:sz w:val="20"/>
        </w:rPr>
        <w:t>Net revenue per barrel.</w:t>
      </w:r>
      <w:r>
        <w:rPr>
          <w:rFonts w:ascii="Times New Roman" w:hAnsi="Times New Roman"/>
          <w:color w:val="000000"/>
          <w:sz w:val="20"/>
        </w:rPr>
        <w:t xml:space="preserve"> Net revenue per barrel increased by 2.7% to $277.98 per barrel for the thirteen weeks ended March 28, 2026, as compared to $270.64 per barrel for the comparable period in 2025, primarily due to increased pricing and favorable product mix.</w:t>
      </w:r>
      <w:r>
        <w:rPr>
          <w:rFonts w:ascii="Times New Roman" w:hAnsi="Times New Roman"/>
          <w:color w:val="FF0000"/>
          <w:sz w:val="20"/>
        </w:rPr>
        <w:t xml:space="preserv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Cost of goods sold.</w:t>
      </w:r>
      <w:r>
        <w:rPr>
          <w:rFonts w:ascii="Times New Roman" w:hAnsi="Times New Roman"/>
          <w:color w:val="000000"/>
          <w:sz w:val="20"/>
        </w:rPr>
        <w:t xml:space="preserve"> Cost of goods sold was $140.92 per barrel for the thirteen weeks ended March 28, 2026, as compared to $139.90 per barrel for the thirteen weeks ended March 29, 2025. The 2026 increase in cost of goods sold of $1.02, or 0.7% per barrel was primarily due to inflationary impacts of $12.5 million, or $8.01 per barrel, partially offset by contract renegotiations and recipe optimization savings of $5.5 million, or $3.52 per barrel, improved logistics optimization of $2.7 million, or $1.73 per barrel, lower third-party production payment amortization of $2.0 million, or $1.28 per barrel, and decreases in inventory obsolescence of $0.9 million, or $0.58 per barrel.</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Inflationary impacts of $12.5 million consist primarily of increased aluminum costs of $11.0 million, inclusive of $4.3 million aluminum impact from tariffs, with total tariff-related impacts to cost of goods sold of $5.2 million, and increased internal brewery costs of $1.5 million.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Gross profit.</w:t>
      </w:r>
      <w:r>
        <w:rPr>
          <w:rFonts w:ascii="Times New Roman" w:hAnsi="Times New Roman"/>
          <w:color w:val="000000"/>
          <w:sz w:val="20"/>
        </w:rPr>
        <w:t xml:space="preserve"> Gross profit was $137.06 per barrel for the thirteen weeks ended March 28, 2026, as compared to $130.74 per barrel for the thirteen weeks ended March 29,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includes freight charges related to the movement of finished goods from its manufacturing locations to distributor locations in its advertising, promotional and selling expense line item. As such, the Company’s gross margins may not be comparable to those of other entities that classify costs related to distribution differently.</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Advertising, promotional, and selling expenses. </w:t>
      </w:r>
      <w:r>
        <w:rPr>
          <w:rFonts w:ascii="Times New Roman" w:hAnsi="Times New Roman"/>
          <w:color w:val="000000"/>
          <w:sz w:val="20"/>
        </w:rPr>
        <w:t>Advertising, promotional and selling expenses increased by $2.5 million, or 1.8%, to $140.1 million for the thirteen weeks ended March 28, 2026, as compared to $137.5 million for the thirteen weeks ended March 29, 2025 resulting from higher freight costs of $2.5 million due to higher rates partially offset by lower volumes. The Company’s brand investments were flat compared to the first quarter of 2025.</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Advertising, promotional and selling expenses were 32.3% of net revenue, or $89.73 per barrel, for the thirteen weeks ended March 28, 2026, as compared to 30.3% of net revenue, or $82.01 per barrel, for the thirteen weeks ended March 29, 2025. This increase per barrel is primarily due to increased freight rates. The Company invests in advertising and promotional campaigns that it believes will be effective, but there is no guarantee that such investments will generate sales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conducts certain advertising and promotional activities in its distributors’ markets, and the distributors make contributions to the Company for such efforts. These amounts are included in the Company’s condensed consolidated statements of comprehensive operations as reductions to advertising, promotional and selling expenses. Historically, contributions from distributors for advertising and promotional activities have amounted to between 2% and 3% of net sales. The Company may adjust its promotional efforts in the distributors’ markets, if changes occur in these promotional contribution arrangements, depending on industry and market conditions.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General and administrative expenses. </w:t>
      </w:r>
      <w:r>
        <w:rPr>
          <w:rFonts w:ascii="Times New Roman" w:hAnsi="Times New Roman"/>
          <w:color w:val="000000"/>
          <w:sz w:val="20"/>
        </w:rPr>
        <w:t>General and administrative expenses increased by $4.4 million, or 9.1%, to $52.3 million for the thirteen weeks ended March 28, 2026, as compared to $48.0 million for the thirteen weeks ended March 29, 2025,</w:t>
      </w:r>
      <w:r>
        <w:rPr>
          <w:rFonts w:ascii="Times New Roman" w:hAnsi="Times New Roman"/>
          <w:color w:val="FF0000"/>
          <w:sz w:val="20"/>
        </w:rPr>
        <w:t xml:space="preserve"> </w:t>
      </w:r>
      <w:r>
        <w:rPr>
          <w:rFonts w:ascii="Times New Roman" w:hAnsi="Times New Roman"/>
          <w:color w:val="000000"/>
          <w:sz w:val="20"/>
        </w:rPr>
        <w:t>primarily due to higher legal and consulting costs. Excluding legal costs related to the non-recurring litigation expense discussed below, general and administrative expenses increased by $0.4 million from the first quarter of 2025 primarily due to increased consulting costs.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Litigation expense.</w:t>
      </w:r>
      <w:r>
        <w:rPr>
          <w:rFonts w:ascii="Times New Roman" w:hAnsi="Times New Roman"/>
          <w:color w:val="000000"/>
          <w:sz w:val="20"/>
        </w:rPr>
        <w:t xml:space="preserve"> During the first quarter of 2026 the Company recorded a pre-tax non-recurring litigation expense of $175.5 million and related pre-judgement interest expense of $36.5 million resulting from a verdict entered on April 6, 2026 awarding damages to a supplier. The pre-judgement interest has not yet been determined and potential outcomes range between zero and $36.5 million. In addition to the damages and interest, the Company has recorded legal fees of $4.0 million in general and administrative expenses for a total of $216.0 million pre-tax. The Company denies that it breached the terms of the parties’ contract and intends to pursue all available post</w:t>
        <w:noBreakHyphen/>
        <w:t>trial motions and appellate remedies. As of the filing date of this Quarterly Report, a final judgment has not been entered and post</w:t>
        <w:noBreakHyphen/>
        <w:t>trial motions remain pending. The Company cannot estimate when or if damages or interest will ultimately be paid or when this matter will ultimately be resolved.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 xml:space="preserve">Impairment of brewery assets. </w:t>
      </w:r>
      <w:r>
        <w:rPr>
          <w:rFonts w:ascii="Times New Roman" w:hAnsi="Times New Roman"/>
          <w:color w:val="000000"/>
          <w:sz w:val="20"/>
        </w:rPr>
        <w:t>There was less than $0.1 million impairment of brewery assets during the thirteen weeks ended March 28, 2026.</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Income tax provision.</w:t>
      </w:r>
      <w:r>
        <w:rPr>
          <w:rFonts w:ascii="Times New Roman" w:hAnsi="Times New Roman"/>
          <w:color w:val="000000"/>
          <w:sz w:val="20"/>
        </w:rPr>
        <w:t xml:space="preserve"> The Company's effective tax rate was a benefit of 23.1%, decreased from 31.9% in the prior year. The change in the tax rate for the thirteen weeks ended March 28, 2026 as compared to the thirteen weeks ended March 29, 2025, is primarily due to a pre-tax loss in the first quarter of 2026 compared to pre-tax income in the first quarter of 2025 and the change in impact of non-deductible expenses.</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Company’s primary sources of liquidity are its existing cash balances, cash flows from operating activities and amounts available under its revolving credit facility. The Company’s material cash requirements include working capital needs, satisfaction of contractual commitments, stock repurchases, and investment in the Company’s business through capital expenditures.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decreased to $164.1 million as of March 28, 2026 from $223.4 million as of December 27, 2025, primarily reflecting repurchases of the Company's Class A common stock, purchases of property, plant, and equipment and changes in operating assets and liabilities that resulted in net cash used in operating activities.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or provided by operating activities consists of net (loss) income, adjusted for certain non-cash items, such as depreciation and amortization, stock-based compensation expense, and other non-cash items included in operating results, and changes in operating assets and liabilities, such as accounts receivable, inventory, accounts payable, and accrued expenses.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operating activities for the thirteen weeks ended March 28, 2026 was driven by a net loss of $145.3 million, adjusted for $191.1 million of non</w:t>
        <w:noBreakHyphen/>
        <w:t>cash items, and net cash outflows of $66.2 million related to changes in operating assets and liabilities. The non</w:t>
        <w:noBreakHyphen/>
        <w:t>cash items primarily consisted of $212.0 million of litigation expense, partially offset by other non</w:t>
        <w:noBreakHyphen/>
        <w:t>cash items. Cash provided by operating activities for the thirteen weeks ended March 29, 2025 was comprised of net income of $24.4 million and non-cash items of $15.0 million, partially offset by net cash outflows for operating assets and liabilities of $37.5 million. The increase in cash used by operating activities for the thirteen weeks ended March 28, 2026 compared to the thirteen weeks ended March 29, 2025 was primarily attributable to unfavorable changes in working capital, including the timing of cash outflows related to accounts payable, as the increase in accounts payable in 2026 was lower than in the prior</w:t>
        <w:noBreakHyphen/>
        <w:t>year period.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used $12.3 million in investing activities during the thirteen weeks ended March 28, 2026, as compared to $9.8 million during the thirteen weeks ended March 29, 2025. The increase in investing activity cash outflows is due to higher investment in the breweries during the current year. For both periods, capital investments were made mostly in the Company’s breweries to drive efficiencies and cost reductions and support product innovation and future growth.</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Cash used in financing activities was $26.5 million during the thirteen weeks ended March 28, 2026, as compared to $51.4 million during the thirteen weeks ended March 29, 2025. The financing activity cash outflows in 2026 and 2025 comprised mostly of the repurchases of the Company's Class A common stock in the period.</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During the period from December 28, 2025 through April 24, 2026, the Company repurchased and subs</w:t>
      </w:r>
      <w:r>
        <w:rPr>
          <w:rFonts w:ascii="Times New Roman" w:hAnsi="Times New Roman"/>
          <w:color w:val="030303"/>
          <w:sz w:val="20"/>
        </w:rPr>
        <w:t>equently retired 137,912 shares of its Class A Common Stock for an aggregate purchase price of $31.2 million. As of April 25, 2026, the Company had repurchased a cumulative total of approximately 15.9 million shares of its Class A Common Stock for an aggregate purchase price of approximately $1.4 billion and had approximately $197 million remaining on the $1.6 billion stock repurchase expenditure limit s</w:t>
      </w:r>
      <w:r>
        <w:rPr>
          <w:rFonts w:ascii="Times New Roman" w:hAnsi="Times New Roman"/>
          <w:color w:val="000000"/>
          <w:sz w:val="20"/>
        </w:rPr>
        <w:t>et by the Board of Directors.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Company expects that its cash balance as of March 28, 2026 of $164.1 million, along with its projected future operating cash flow and its unused line of credit balance of $150.0 million, will be sufficient to fund future cash requirements, including the potential litigation-related payments. The Company’s $150.0 million credit facility has a term not scheduled to expire until December 16, 2027. As of the date of this filing, the Company was not in violation of any of its covenants to the lender under the credit facility.</w:t>
      </w:r>
    </w:p>
    <w:p>
      <w:pPr>
        <w:pStyle w:val="Heading2"/>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CRITICAL ACCOUNTING POLICIES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There were no material changes to the Company’s critical accounting policies during the three-month period ended March 28, 2026.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MARKET CONDITIONS AND TRENDS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Based on the information currently available and tariff programs announced by the U.S. government, the Company estimates tariffs will have an unfavorable cost impact for the full year 2026 of approximately $20 million to $30 million. </w:t>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FORWARD-LOOKING STATEMENTS</w:t>
      </w:r>
    </w:p>
    <w:p>
      <w:pPr>
        <w:pStyle w:val="TextBody"/>
        <w:bidi w:val="0"/>
        <w:jc w:val="left"/>
        <w:rPr/>
      </w:pPr>
      <w:r>
        <w:rPr/>
        <w:t> </w:t>
      </w:r>
    </w:p>
    <w:p>
      <w:pPr>
        <w:pStyle w:val="TextBody"/>
        <w:bidi w:val="0"/>
        <w:jc w:val="left"/>
        <w:rPr>
          <w:rFonts w:ascii="Times New Roman" w:hAnsi="Times New Roman"/>
          <w:color w:val="000000"/>
          <w:sz w:val="20"/>
        </w:rPr>
      </w:pPr>
      <w:bookmarkStart w:id="11" w:name="mda_end"/>
      <w:bookmarkEnd w:id="11"/>
      <w:r>
        <w:rPr>
          <w:rFonts w:ascii="Times New Roman" w:hAnsi="Times New Roman"/>
          <w:color w:val="000000"/>
          <w:sz w:val="20"/>
        </w:rPr>
        <w:t>In this Quarterly Report on Form 10-Q and in other documents incorporated herein, as well as in oral statements made by the Company, statements that are prefaced with the words “may,” “will,” “expect,” “anticipate,” “continue,” “estimate,” “project,” “intend,” “designed” and similar expressions, are intended to identify forward-looking statements regarding events, conditions, and financial trends that may affect the Company’s future plans of operations, business strategy, results of operations and financial position. These statements are based on the Company’s current expectations and estimates as to prospective events and circumstances about which the Company can give no firm assurance. Further, any forward-looking statement speaks only as of the date on which such statement is made, and the Company undertakes no obligation to update any forward-looking statement to reflect subsequent events or circumstances. Forward-looking statements should not be relied upon as a prediction of actual future financial condition or results. These forward-looking statements, like any forward-looking statements, involve risks and uncertainties that could cause actual results to differ materially from those projected or anticipated. Such risks and uncertainties include the factors set forth below in addition to the other information set forth in this Quarterly Report on Form 10-Q and in the section titled “Risk Factors” in the Company’s Annual Report on Form 10-K for the year ended December 27,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bookmarkStart w:id="12" w:name="item_3_quantitative_qualitative_disclosu"/>
      <w:bookmarkEnd w:id="12"/>
      <w:r>
        <w:rPr>
          <w:rFonts w:ascii="Times New Roman" w:hAnsi="Times New Roman"/>
          <w:b/>
          <w:color w:val="000000"/>
          <w:sz w:val="20"/>
        </w:rPr>
        <w:t>Item 3. QUANTITATIVE AND QUALITATIVE DISCLOSURES ABOUT MARKET RISK</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Since December 27, 2025, there have been no significant changes in the Company’s exposures to interest rate or foreign currency rate fluctuations. The Company currently does not enter into derivatives or other market risk sensitive instruments for the purpose of hedging or for trading purposes. </w:t>
      </w:r>
    </w:p>
    <w:p>
      <w:pPr>
        <w:pStyle w:val="TextBody"/>
        <w:bidi w:val="0"/>
        <w:jc w:val="left"/>
        <w:rPr/>
      </w:pPr>
      <w:r>
        <w:rPr/>
        <w:t> </w:t>
      </w:r>
    </w:p>
    <w:p>
      <w:pPr>
        <w:pStyle w:val="TextBody"/>
        <w:bidi w:val="0"/>
        <w:jc w:val="left"/>
        <w:rPr>
          <w:rFonts w:ascii="Times New Roman" w:hAnsi="Times New Roman"/>
          <w:sz w:val="20"/>
        </w:rPr>
      </w:pPr>
      <w:bookmarkStart w:id="13" w:name="item_4_controls_procedures"/>
      <w:bookmarkEnd w:id="13"/>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March 28, 2026, the Company conducted an evaluation under the supervision and with the participation of the Company’s management, including the Company’s Chief Executive Officer and Chief Financial Officer (its principal executive officer and principal financial officer, respectively) regarding the effectiveness of the design and operation of the Company’s disclosure controls and procedures as defined in Rule 13a-15(e) and 15d-15(e) of the Securities Exchange Act of 1934 (the “Exchange Act”). Based upon that evaluation, the Chief Executive Officer and Chief Financial Officer concluded that the Company’s disclosure controls and procedures (as defined in Exchange Act Rules 13a-15(e) and 15d-15(e)) were effective as of March 28, 2026 to ensure that information required to be disclosed by the Company in reports that it files or submits under the Exchange Act is recorded, processed, summarized and reported within the requisite time periods and that such disclosure controls and procedures were effective to ensure that information required to be disclosed by the Company in the reports that it files or submits under the Exchange Act is accumulated and communicated to its management, including its principal executive and principal financial officers, or persons performing similar functions, as appropriate to allow timely decisions regarding required disclosure.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There were no changes in the Company’s internal control over financial reporting that occurred during the thirteen weeks ended March 28, 2026 that has materially affected, or is reasonably likely to materially affect, the Company’s internal control over financial reporting.</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sz w:val="20"/>
        </w:rPr>
      </w:pPr>
      <w:bookmarkStart w:id="14" w:name="other_information"/>
      <w:bookmarkEnd w:id="14"/>
      <w:r>
        <w:rPr>
          <w:rFonts w:ascii="Times New Roman" w:hAnsi="Times New Roman"/>
          <w:b/>
          <w:color w:val="000000"/>
          <w:sz w:val="20"/>
        </w:rPr>
        <w:t>PART II.</w:t>
      </w:r>
      <w:r>
        <w:rPr>
          <w:rFonts w:ascii="Times New Roman" w:hAnsi="Times New Roman"/>
          <w:color w:val="000000"/>
          <w:sz w:val="20"/>
        </w:rPr>
        <w:t xml:space="preserve"> </w:t>
      </w:r>
      <w:r>
        <w:rPr>
          <w:rFonts w:ascii="Times New Roman" w:hAnsi="Times New Roman"/>
          <w:b/>
          <w:color w:val="000000"/>
          <w:sz w:val="20"/>
        </w:rPr>
        <w:t>OTHER INFORMATION</w:t>
      </w:r>
    </w:p>
    <w:p>
      <w:pPr>
        <w:pStyle w:val="TextBody"/>
        <w:bidi w:val="0"/>
        <w:jc w:val="left"/>
        <w:rPr/>
      </w:pPr>
      <w:r>
        <w:rPr/>
        <w:t> </w:t>
      </w:r>
    </w:p>
    <w:p>
      <w:pPr>
        <w:pStyle w:val="TextBody"/>
        <w:bidi w:val="0"/>
        <w:jc w:val="left"/>
        <w:rPr>
          <w:rFonts w:ascii="Times New Roman" w:hAnsi="Times New Roman"/>
          <w:b/>
          <w:color w:val="000000"/>
          <w:sz w:val="20"/>
        </w:rPr>
      </w:pPr>
      <w:bookmarkStart w:id="15" w:name="item_1_legal_proceedings"/>
      <w:bookmarkEnd w:id="15"/>
      <w:r>
        <w:rPr>
          <w:rFonts w:ascii="Times New Roman" w:hAnsi="Times New Roman"/>
          <w:b/>
          <w:color w:val="000000"/>
          <w:sz w:val="20"/>
        </w:rPr>
        <w:t>Item 1. LEGAL PROCEEDINGS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For information regarding the Company's legal proceedings, refer to Note I of the Condensed Consolidated Financial Statements.</w:t>
      </w:r>
    </w:p>
    <w:p>
      <w:pPr>
        <w:pStyle w:val="TextBody"/>
        <w:bidi w:val="0"/>
        <w:jc w:val="left"/>
        <w:rPr/>
      </w:pPr>
      <w:r>
        <w:rPr/>
        <w:t> </w:t>
      </w:r>
    </w:p>
    <w:p>
      <w:pPr>
        <w:pStyle w:val="TextBody"/>
        <w:bidi w:val="0"/>
        <w:jc w:val="left"/>
        <w:rPr>
          <w:rFonts w:ascii="Times New Roman" w:hAnsi="Times New Roman"/>
          <w:b/>
          <w:color w:val="000000"/>
          <w:sz w:val="20"/>
        </w:rPr>
      </w:pPr>
      <w:bookmarkStart w:id="16" w:name="item_1a_risk_factors"/>
      <w:bookmarkEnd w:id="16"/>
      <w:r>
        <w:rPr>
          <w:rFonts w:ascii="Times New Roman" w:hAnsi="Times New Roman"/>
          <w:b/>
          <w:color w:val="000000"/>
          <w:sz w:val="20"/>
        </w:rPr>
        <w:t>Item 1A. RISK FACTORS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addition to the other information set forth in this report, careful consideration should be given to the factors discussed in Part I, "Item 1A. Risk Factors" in the Company’s Annual Report on Form 10-K for the year ended December 27, 2025, which could materially affect the Company’s business, financial condition or future results. The risks described in the Company’s Annual Report on Form 10-K are not the only risks facing the Company. Additional risks and uncertainties not currently known to the Company or that it currently deems to be immaterial also may materially adversely affect its business, financial condition and/or operating results. There has been no material change in the risk factors described in the Company’s Annual Report on Form 10-K for the year ended December 27, 2025.</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both"/>
        <w:rPr>
          <w:rFonts w:ascii="Times New Roman" w:hAnsi="Times New Roman"/>
          <w:b/>
          <w:color w:val="000000"/>
          <w:sz w:val="20"/>
        </w:rPr>
      </w:pPr>
      <w:bookmarkStart w:id="17" w:name="item_2_unregistered_sales_equity_securit"/>
      <w:bookmarkEnd w:id="17"/>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1998, the Company's Board of Directors ("the Board") authorized the Company's share buyback program. In October 2024, the Board authorized an increase in the share buyback expenditure limit set for the program from $1.2 billion to $1.6 billion. The Board did not specify a date upon which the authorization would expire. Share repurchases for the periods included herein were effected through open market transactions.</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0"/>
        </w:rPr>
        <w:t>As of April 24, 2026, the Company had repurchased a cumulative total of approxima</w:t>
      </w:r>
      <w:r>
        <w:rPr>
          <w:rFonts w:ascii="Times New Roman" w:hAnsi="Times New Roman"/>
          <w:color w:val="030303"/>
          <w:sz w:val="20"/>
        </w:rPr>
        <w:t>tely 15.9 milli</w:t>
      </w:r>
      <w:r>
        <w:rPr>
          <w:rFonts w:ascii="Times New Roman" w:hAnsi="Times New Roman"/>
          <w:color w:val="000000"/>
          <w:sz w:val="20"/>
        </w:rPr>
        <w:t>on shares of its Class A Common Stock for an aggregate purchase pri</w:t>
      </w:r>
      <w:r>
        <w:rPr>
          <w:rFonts w:ascii="Times New Roman" w:hAnsi="Times New Roman"/>
          <w:color w:val="030303"/>
          <w:sz w:val="20"/>
        </w:rPr>
        <w:t>ce of $1.4 billion and had $197 million re</w:t>
      </w:r>
      <w:r>
        <w:rPr>
          <w:rFonts w:ascii="Times New Roman" w:hAnsi="Times New Roman"/>
          <w:color w:val="000000"/>
          <w:sz w:val="20"/>
        </w:rPr>
        <w:t>maining on the $1.6 billion share buyback expenditure limit set by the Board.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During the thirteen weeks ended March 28, 2026, the Company repurchased and subsequently retired 107,749 shares of its Class A Common Stock, including 369 unvested investment shares issued under the Investment Share Program of the Company’s Employee Equity Incentive Plan, as illustrated in the table below:</w:t>
      </w:r>
    </w:p>
    <w:p>
      <w:pPr>
        <w:pStyle w:val="TextBody"/>
        <w:bidi w:val="0"/>
        <w:jc w:val="left"/>
        <w:rPr/>
      </w:pPr>
      <w:r>
        <w:rPr/>
        <w:t> </w:t>
      </w:r>
    </w:p>
    <w:tbl>
      <w:tblPr>
        <w:tblW w:w="9779" w:type="dxa"/>
        <w:jc w:val="left"/>
        <w:tblInd w:w="0" w:type="dxa"/>
        <w:tblLayout w:type="fixed"/>
        <w:tblCellMar>
          <w:top w:w="28" w:type="dxa"/>
          <w:left w:w="28" w:type="dxa"/>
          <w:bottom w:w="28" w:type="dxa"/>
          <w:right w:w="28" w:type="dxa"/>
        </w:tblCellMar>
      </w:tblPr>
      <w:tblGrid>
        <w:gridCol w:w="2896"/>
        <w:gridCol w:w="146"/>
        <w:gridCol w:w="264"/>
        <w:gridCol w:w="1251"/>
        <w:gridCol w:w="146"/>
        <w:gridCol w:w="146"/>
        <w:gridCol w:w="302"/>
        <w:gridCol w:w="928"/>
        <w:gridCol w:w="146"/>
        <w:gridCol w:w="146"/>
        <w:gridCol w:w="264"/>
        <w:gridCol w:w="1251"/>
        <w:gridCol w:w="146"/>
        <w:gridCol w:w="146"/>
        <w:gridCol w:w="311"/>
        <w:gridCol w:w="1099"/>
        <w:gridCol w:w="191"/>
      </w:tblGrid>
      <w:tr>
        <w:trPr/>
        <w:tc>
          <w:tcPr>
            <w:tcW w:w="28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8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Period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Number of Shares</w:t>
              <w:br/>
              <w:t>Purchased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Average Price Paid</w:t>
              <w:br/>
              <w:t>per Share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Total Number of Shares</w:t>
              <w:br/>
              <w:t>Purchased as Part of</w:t>
              <w:br/>
              <w:t>Publicly Announced</w:t>
              <w:br/>
              <w:t>Plans or Programs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Approximate Dollar</w:t>
              <w:br/>
              <w:t>Value of Shares that</w:t>
              <w:br/>
              <w:t>May Yet be Purchased</w:t>
              <w:br/>
              <w:t>Under the Plans</w:t>
              <w:br/>
              <w:t>or Programs</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December 28, 2025 - January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44,573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208.89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44,304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219,117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February 1, 2026 - February 28,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27,870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212,690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March 1, 2026 - March 28,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228.71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35,206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204,633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107,749</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221.00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0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204,633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As of April 24 2026, the Company had 8.3 million shares of Class A Common Stock outstanding and 2.1 million shares of Class B Common Stock outstanding.</w:t>
      </w:r>
    </w:p>
    <w:p>
      <w:pPr>
        <w:pStyle w:val="TextBody"/>
        <w:bidi w:val="0"/>
        <w:jc w:val="left"/>
        <w:rPr/>
      </w:pPr>
      <w:r>
        <w:rPr/>
        <w:t> </w:t>
      </w:r>
    </w:p>
    <w:p>
      <w:pPr>
        <w:pStyle w:val="TextBody"/>
        <w:bidi w:val="0"/>
        <w:jc w:val="left"/>
        <w:rPr>
          <w:rFonts w:ascii="Times New Roman" w:hAnsi="Times New Roman"/>
          <w:b/>
          <w:color w:val="000000"/>
          <w:sz w:val="20"/>
        </w:rPr>
      </w:pPr>
      <w:bookmarkStart w:id="18" w:name="item_3_defaults_upon_senior_securities"/>
      <w:bookmarkEnd w:id="18"/>
      <w:r>
        <w:rPr>
          <w:rFonts w:ascii="Times New Roman" w:hAnsi="Times New Roman"/>
          <w:b/>
          <w:color w:val="000000"/>
          <w:sz w:val="20"/>
        </w:rPr>
        <w:t>Item 3. DEFAULTS UPON SENIOR SECURITIES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b/>
          <w:color w:val="000000"/>
          <w:sz w:val="20"/>
        </w:rPr>
      </w:pPr>
      <w:bookmarkStart w:id="19" w:name="item_4_mine_safety_disclosures"/>
      <w:bookmarkEnd w:id="19"/>
      <w:r>
        <w:rPr>
          <w:rFonts w:ascii="Times New Roman" w:hAnsi="Times New Roman"/>
          <w:b/>
          <w:color w:val="000000"/>
          <w:sz w:val="20"/>
        </w:rPr>
        <w:t>Item 4. MINE SAFETY DISCLOSURES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Not Applicable</w:t>
      </w:r>
    </w:p>
    <w:p>
      <w:pPr>
        <w:pStyle w:val="TextBody"/>
        <w:bidi w:val="0"/>
        <w:jc w:val="left"/>
        <w:rPr/>
      </w:pPr>
      <w:r>
        <w:rPr/>
        <w:t> </w:t>
      </w:r>
    </w:p>
    <w:p>
      <w:pPr>
        <w:pStyle w:val="TextBody"/>
        <w:bidi w:val="0"/>
        <w:jc w:val="left"/>
        <w:rPr>
          <w:rFonts w:ascii="Times New Roman" w:hAnsi="Times New Roman"/>
          <w:sz w:val="20"/>
        </w:rPr>
      </w:pPr>
      <w:bookmarkStart w:id="20" w:name="item_5_or_information"/>
      <w:bookmarkEnd w:id="20"/>
      <w:r>
        <w:rPr>
          <w:rFonts w:ascii="Times New Roman" w:hAnsi="Times New Roman"/>
          <w:b/>
          <w:color w:val="000000"/>
          <w:sz w:val="20"/>
        </w:rPr>
        <w:t>Item 5. OTHER</w:t>
      </w:r>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Insider Trading Arrangements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No trading plans were adopted or terminated during the thirteen weeks ended March 28, 2026 by an executive officer or director that is intended to satisfy the affirmative defense conditions of Securities Exchange Act Rule 10b5-1(c) or a non-Rule 10b5-1(c) trading agreement.</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left"/>
        <w:rPr>
          <w:rFonts w:ascii="Times New Roman" w:hAnsi="Times New Roman"/>
          <w:b/>
          <w:color w:val="000000"/>
          <w:sz w:val="20"/>
        </w:rPr>
      </w:pPr>
      <w:bookmarkStart w:id="21" w:name="item_6_exhibits"/>
      <w:bookmarkEnd w:id="21"/>
      <w:r>
        <w:rPr>
          <w:rFonts w:ascii="Times New Roman" w:hAnsi="Times New Roman"/>
          <w:b/>
          <w:color w:val="000000"/>
          <w:sz w:val="20"/>
        </w:rPr>
        <w:t>Item 6. 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901"/>
        <w:gridCol w:w="146"/>
        <w:gridCol w:w="9158"/>
      </w:tblGrid>
      <w:tr>
        <w:trPr/>
        <w:tc>
          <w:tcPr>
            <w:tcW w:w="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58" w:type="dxa"/>
            <w:tcBorders/>
            <w:vAlign w:val="center"/>
          </w:tcPr>
          <w:p>
            <w:pPr>
              <w:pStyle w:val="TableContents"/>
              <w:bidi w:val="0"/>
              <w:spacing w:before="0" w:after="283"/>
              <w:jc w:val="left"/>
              <w:rPr>
                <w:sz w:val="4"/>
                <w:szCs w:val="4"/>
              </w:rPr>
            </w:pPr>
            <w:r>
              <w:rPr>
                <w:sz w:val="4"/>
                <w:szCs w:val="4"/>
              </w:rPr>
            </w:r>
          </w:p>
        </w:tc>
      </w:tr>
      <w:tr>
        <w:trPr/>
        <w:tc>
          <w:tcPr>
            <w:tcW w:w="9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158"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Title</w:t>
            </w:r>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By-Laws of the Company, dated June 2, 1998 (incorporated by reference to Exhibit 3.5 to the Company’s Form 10-Q filed on August 10, 1998).</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 xml:space="preserve">3.2 </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Restated Articles of Organization of the Company, dated November 17, 1995, as amended August 4, 1998 (incorporated by reference to Exhibit 3.6 to the Company’s Form 10-Q filed on August 10, 1998).</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 Rights Agreement, dated as of December, 1995, between The Boston Beer Company, Inc. and the initial Stockholders (incorporated by reference to the Company's Form 10-K, filed on April 1, 1996). (P)</w:t>
            </w:r>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10.2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Offer Letter to Diego Reynoso, Chief Financial Officer, dated July 21, 2023 (incorporated by reference to exhibit 10.1 to a Current Report on Form 8-K filed by the Company on July 24, 2023)</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Offer Letter to Michael Spillane, Chief Executive Officer dated February 23, 2024 (incorporated by reference to Exhibit 10.2 of the Company's Current Report on Form 8-K filed on February 24, 2024.)</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jc w:val="left"/>
              <w:rPr/>
            </w:pPr>
            <w:hyperlink r:id="rId6">
              <w:r>
                <w:rPr>
                  <w:rStyle w:val="InternetLink"/>
                  <w:rFonts w:ascii="Times New Roman" w:hAnsi="Times New Roman"/>
                  <w:color w:val="0000FF"/>
                  <w:sz w:val="20"/>
                  <w:u w:val="single"/>
                </w:rPr>
                <w:t>Offer Letter to Michael R. Crowley, Chief Sales Officer, dated August 15, 2023 (incorporated by reference to Exhibit 10.18 to the Company's Annual Report on Form 10-K dated February 25, 2025).</w:t>
              </w:r>
            </w:hyperlink>
          </w:p>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7">
              <w:r>
                <w:rPr>
                  <w:rStyle w:val="InternetLink"/>
                  <w:rFonts w:ascii="Times New Roman" w:hAnsi="Times New Roman"/>
                  <w:color w:val="0000FF"/>
                  <w:sz w:val="20"/>
                  <w:u w:val="single"/>
                </w:rPr>
                <w:t>Offer Letter to Tara Heath, Chief Legal Officer, General Counsel, dated August 8, 2022 (incorporated by reference to Exhibit 10.17 to the Company's Annual Report on Form 10-K dated February 24, 2026)</w:t>
              </w:r>
            </w:hyperlink>
            <w:hyperlink r:id="rId8">
              <w:r>
                <w:rPr>
                  <w:rStyle w:val="InternetLink"/>
                  <w:rFonts w:ascii="Times New Roman" w:hAnsi="Times New Roman"/>
                  <w:color w:val="0000FF"/>
                  <w:sz w:val="20"/>
                </w:rPr>
                <w:t xml:space="preserve"> </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9">
              <w:r>
                <w:rPr>
                  <w:rStyle w:val="InternetLink"/>
                  <w:rFonts w:ascii="Times New Roman" w:hAnsi="Times New Roman"/>
                  <w:color w:val="0000FF"/>
                  <w:sz w:val="20"/>
                  <w:u w:val="single"/>
                </w:rPr>
                <w:t>Transition Agreement governing Mr. Spillane's ongoing relationship with the Company, dated August 1, 2025 (incorporated by reference as Exhibit 10.1 of the Company's Current Report on Form 8-K filed on August 1, 2025.)</w:t>
              </w:r>
            </w:hyperlink>
            <w:r>
              <w:rPr>
                <w:rFonts w:ascii="Times New Roman" w:hAnsi="Times New Roman"/>
                <w:color w:val="000000"/>
                <w:sz w:val="20"/>
              </w:rPr>
              <w:t xml:space="preserve"> </w:t>
            </w:r>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10.7</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r:id="rId10">
              <w:r>
                <w:rPr>
                  <w:rStyle w:val="InternetLink"/>
                  <w:rFonts w:ascii="Times New Roman" w:hAnsi="Times New Roman"/>
                  <w:color w:val="0000FF"/>
                  <w:sz w:val="20"/>
                  <w:u w:val="single"/>
                </w:rPr>
                <w:t>Offer Letter to Philip A. Hodges, Chief Operating Officer dated October 20, 2025 (incorporated by reference to Exhibit 10.1 of the Company's Current Report on Form 8-K/A filed on October 22, 2025).</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w:anchor="sam-ex31_1.htm">
              <w:r>
                <w:rPr>
                  <w:rStyle w:val="InternetLink"/>
                  <w:rFonts w:ascii="Times New Roman" w:hAnsi="Times New Roman"/>
                  <w:color w:val="0000FF"/>
                  <w:sz w:val="20"/>
                  <w:u w:val="single"/>
                </w:rPr>
                <w:t>Certification of the President and Chief Executive Officer pursuant to Rule 13a-14(a) under the Securities Exchange Act of 1934, as adopted pursuant to Section 302 of the Sarbanes-Oxley Act of 2002.</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w:anchor="sam-ex31_2.htm">
              <w:r>
                <w:rPr>
                  <w:rStyle w:val="InternetLink"/>
                  <w:rFonts w:ascii="Times New Roman" w:hAnsi="Times New Roman"/>
                  <w:color w:val="0000FF"/>
                  <w:sz w:val="20"/>
                  <w:u w:val="single"/>
                </w:rPr>
                <w:t>Certification of the Chief Financial Officer pursuant to Rule 13a-14(a) under the Securities Exchange Act of 1934, as adopted pursuant to Section 302 of the Sarbanes-Oxley Act of 2002.</w:t>
              </w:r>
            </w:hyperlink>
          </w:p>
        </w:tc>
      </w:tr>
      <w:tr>
        <w:trPr/>
        <w:tc>
          <w:tcPr>
            <w:tcW w:w="901"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both"/>
              <w:rPr/>
            </w:pPr>
            <w:r>
              <w:rPr/>
              <w:t> </w:t>
            </w:r>
          </w:p>
        </w:tc>
        <w:tc>
          <w:tcPr>
            <w:tcW w:w="9158"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w:anchor="sam-ex32_1.htm">
              <w:r>
                <w:rPr>
                  <w:rStyle w:val="InternetLink"/>
                  <w:rFonts w:ascii="Times New Roman" w:hAnsi="Times New Roman"/>
                  <w:color w:val="0000FF"/>
                  <w:sz w:val="20"/>
                  <w:u w:val="single"/>
                </w:rPr>
                <w:t>Certification of the President and Chief Executive Officer pursuant to 18 U.S.C. Section 1350, as adopted pursuant to Section 906 of the Sarbanes-Oxley Act of 2002.</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hyperlink w:anchor="sam-ex32_2.htm">
              <w:r>
                <w:rPr>
                  <w:rStyle w:val="InternetLink"/>
                  <w:rFonts w:ascii="Times New Roman" w:hAnsi="Times New Roman"/>
                  <w:color w:val="0000FF"/>
                  <w:sz w:val="20"/>
                  <w:u w:val="single"/>
                </w:rPr>
                <w:t>Certification of the Chief Financial Officer pursuant to 18 U.S.C. Section 1350, as adopted pursuant to Section 906 of the Sarbanes-Oxley Act of 2002.</w:t>
              </w:r>
            </w:hyperlink>
          </w:p>
        </w:tc>
      </w:tr>
      <w:tr>
        <w:trPr/>
        <w:tc>
          <w:tcPr>
            <w:tcW w:w="90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XBRL tags are embedded within the Inline XBRL document.</w:t>
            </w:r>
          </w:p>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p>
            <w:pPr>
              <w:pStyle w:val="TableContents"/>
              <w:bidi w:val="0"/>
              <w:spacing w:before="0" w:after="283"/>
              <w:jc w:val="left"/>
              <w:rPr/>
            </w:pPr>
            <w:r>
              <w:rPr/>
              <w:t> </w:t>
            </w:r>
          </w:p>
        </w:tc>
      </w:tr>
      <w:tr>
        <w:trPr/>
        <w:tc>
          <w:tcPr>
            <w:tcW w:w="9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158"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0"/>
              </w:rPr>
            </w:pPr>
            <w:r>
              <w:rPr>
                <w:rFonts w:ascii="Times New Roman" w:hAnsi="Times New Roman"/>
                <w:color w:val="000000"/>
                <w:sz w:val="20"/>
              </w:rPr>
              <w:t>Cover page formatted as Inline XBRL and contained in Exhibit 101</w:t>
            </w:r>
          </w:p>
          <w:p>
            <w:pPr>
              <w:pStyle w:val="TableContents"/>
              <w:bidi w:val="0"/>
              <w:spacing w:before="0" w:after="283"/>
              <w:jc w:val="left"/>
              <w:rPr/>
            </w:pPr>
            <w:r>
              <w:rPr/>
              <w:t> </w:t>
            </w:r>
          </w:p>
        </w:tc>
      </w:tr>
    </w:tbl>
    <w:p>
      <w:pPr>
        <w:pStyle w:val="TextBody"/>
        <w:bidi w:val="0"/>
        <w:spacing w:before="40" w:after="283"/>
        <w:jc w:val="left"/>
        <w:rPr>
          <w:rFonts w:ascii="Times New Roman" w:hAnsi="Times New Roman"/>
          <w:color w:val="000000"/>
          <w:sz w:val="20"/>
        </w:rPr>
      </w:pPr>
      <w:r>
        <w:rPr>
          <w:rFonts w:ascii="Times New Roman" w:hAnsi="Times New Roman"/>
          <w:color w:val="000000"/>
          <w:sz w:val="20"/>
        </w:rPr>
        <w:t>* Filed with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able_contents">
        <w:r>
          <w:rPr>
            <w:rStyle w:val="InternetLink"/>
            <w:rFonts w:ascii="Times New Roman" w:hAnsi="Times New Roman"/>
            <w:color w:val="0000FF"/>
            <w:sz w:val="20"/>
            <w:u w:val="single"/>
          </w:rPr>
          <w:t>Table of Conten</w:t>
        </w:r>
      </w:hyperlink>
      <w:r>
        <w:rPr>
          <w:rFonts w:ascii="Times New Roman" w:hAnsi="Times New Roman"/>
          <w:color w:val="000000"/>
          <w:sz w:val="20"/>
        </w:rPr>
        <w:t>t</w:t>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Form 10-Q to be signed on its behalf by the undersigned thereunto duly authorized.</w:t>
      </w:r>
    </w:p>
    <w:p>
      <w:pPr>
        <w:pStyle w:val="TextBody"/>
        <w:bidi w:val="0"/>
        <w:jc w:val="left"/>
        <w:rPr/>
      </w:pPr>
      <w:r>
        <w:rPr/>
        <w:t> </w:t>
      </w:r>
    </w:p>
    <w:tbl>
      <w:tblPr>
        <w:tblW w:w="3331" w:type="dxa"/>
        <w:jc w:val="left"/>
        <w:tblInd w:w="0" w:type="dxa"/>
        <w:tblLayout w:type="fixed"/>
        <w:tblCellMar>
          <w:top w:w="28" w:type="dxa"/>
          <w:left w:w="28" w:type="dxa"/>
          <w:bottom w:w="28" w:type="dxa"/>
          <w:right w:w="28" w:type="dxa"/>
        </w:tblCellMar>
      </w:tblPr>
      <w:tblGrid>
        <w:gridCol w:w="3331"/>
      </w:tblGrid>
      <w:tr>
        <w:trPr/>
        <w:tc>
          <w:tcPr>
            <w:tcW w:w="3331" w:type="dxa"/>
            <w:tcBorders/>
            <w:vAlign w:val="center"/>
          </w:tcPr>
          <w:p>
            <w:pPr>
              <w:pStyle w:val="TableContents"/>
              <w:bidi w:val="0"/>
              <w:spacing w:before="0" w:after="283"/>
              <w:jc w:val="left"/>
              <w:rPr>
                <w:sz w:val="4"/>
                <w:szCs w:val="4"/>
              </w:rPr>
            </w:pPr>
            <w:r>
              <w:rPr>
                <w:sz w:val="4"/>
                <w:szCs w:val="4"/>
              </w:rPr>
            </w:r>
          </w:p>
        </w:tc>
      </w:tr>
      <w:tr>
        <w:trPr/>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 BOSTON BEER COMPANY, INC</w:t>
            </w:r>
          </w:p>
        </w:tc>
      </w:tr>
      <w:tr>
        <w:trPr/>
        <w:tc>
          <w:tcPr>
            <w:tcW w:w="33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(Registrant)</w:t>
            </w:r>
          </w:p>
        </w:tc>
      </w:tr>
    </w:tbl>
    <w:p>
      <w:pPr>
        <w:pStyle w:val="TextBody"/>
        <w:bidi w:val="0"/>
        <w:jc w:val="left"/>
        <w:rPr/>
      </w:pPr>
      <w:r>
        <w:rPr/>
        <w:t> </w:t>
      </w:r>
    </w:p>
    <w:tbl>
      <w:tblPr>
        <w:tblW w:w="5927" w:type="dxa"/>
        <w:jc w:val="left"/>
        <w:tblInd w:w="0" w:type="dxa"/>
        <w:tblLayout w:type="fixed"/>
        <w:tblCellMar>
          <w:top w:w="28" w:type="dxa"/>
          <w:left w:w="28" w:type="dxa"/>
          <w:bottom w:w="28" w:type="dxa"/>
          <w:right w:w="28" w:type="dxa"/>
        </w:tblCellMar>
      </w:tblPr>
      <w:tblGrid>
        <w:gridCol w:w="1786"/>
        <w:gridCol w:w="4141"/>
      </w:tblGrid>
      <w:tr>
        <w:trPr/>
        <w:tc>
          <w:tcPr>
            <w:tcW w:w="1786"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41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/s/ C. James Koch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 James Koch</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Chairman, President and Chief Executive Officer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w:t>
            </w:r>
          </w:p>
        </w:tc>
      </w:tr>
    </w:tbl>
    <w:p>
      <w:pPr>
        <w:pStyle w:val="TextBody"/>
        <w:bidi w:val="0"/>
        <w:jc w:val="left"/>
        <w:rPr/>
      </w:pPr>
      <w:r>
        <w:rPr/>
        <w:t> </w:t>
      </w:r>
    </w:p>
    <w:tbl>
      <w:tblPr>
        <w:tblW w:w="4202" w:type="dxa"/>
        <w:jc w:val="left"/>
        <w:tblInd w:w="0" w:type="dxa"/>
        <w:tblLayout w:type="fixed"/>
        <w:tblCellMar>
          <w:top w:w="28" w:type="dxa"/>
          <w:left w:w="28" w:type="dxa"/>
          <w:bottom w:w="28" w:type="dxa"/>
          <w:right w:w="28" w:type="dxa"/>
        </w:tblCellMar>
      </w:tblPr>
      <w:tblGrid>
        <w:gridCol w:w="1786"/>
        <w:gridCol w:w="2416"/>
      </w:tblGrid>
      <w:tr>
        <w:trPr/>
        <w:tc>
          <w:tcPr>
            <w:tcW w:w="1786" w:type="dxa"/>
            <w:tcBorders/>
            <w:vAlign w:val="center"/>
          </w:tcPr>
          <w:p>
            <w:pPr>
              <w:pStyle w:val="TableContents"/>
              <w:bidi w:val="0"/>
              <w:spacing w:before="0" w:after="283"/>
              <w:jc w:val="left"/>
              <w:rPr>
                <w:sz w:val="4"/>
                <w:szCs w:val="4"/>
              </w:rPr>
            </w:pPr>
            <w:r>
              <w:rPr>
                <w:sz w:val="4"/>
                <w:szCs w:val="4"/>
              </w:rPr>
            </w:r>
          </w:p>
        </w:tc>
        <w:tc>
          <w:tcPr>
            <w:tcW w:w="2416" w:type="dxa"/>
            <w:tcBorders/>
            <w:vAlign w:val="center"/>
          </w:tcPr>
          <w:p>
            <w:pPr>
              <w:pStyle w:val="TableContents"/>
              <w:bidi w:val="0"/>
              <w:spacing w:before="0" w:after="283"/>
              <w:jc w:val="left"/>
              <w:rPr>
                <w:sz w:val="4"/>
                <w:szCs w:val="4"/>
              </w:rPr>
            </w:pPr>
            <w:r>
              <w:rPr>
                <w:sz w:val="4"/>
                <w:szCs w:val="4"/>
              </w:rPr>
            </w:r>
          </w:p>
        </w:tc>
      </w:tr>
      <w:tr>
        <w:trPr/>
        <w:tc>
          <w:tcPr>
            <w:tcW w:w="17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April 30, 2026</w:t>
            </w:r>
          </w:p>
        </w:tc>
        <w:tc>
          <w:tcPr>
            <w:tcW w:w="241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Diego Reynoso</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Diego Reynoso</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Chief Financial Officer </w:t>
            </w:r>
          </w:p>
        </w:tc>
      </w:tr>
      <w:tr>
        <w:trPr/>
        <w:tc>
          <w:tcPr>
            <w:tcW w:w="1786" w:type="dxa"/>
            <w:tcBorders/>
            <w:tcMar>
              <w:top w:w="0" w:type="dxa"/>
              <w:left w:w="0" w:type="dxa"/>
              <w:bottom w:w="0" w:type="dxa"/>
              <w:right w:w="0" w:type="dxa"/>
            </w:tcMar>
            <w:vAlign w:val="center"/>
          </w:tcPr>
          <w:p>
            <w:pPr>
              <w:pStyle w:val="TableContents"/>
              <w:bidi w:val="0"/>
              <w:spacing w:before="0" w:after="283"/>
              <w:jc w:val="left"/>
              <w:rPr/>
            </w:pPr>
            <w:r>
              <w:rPr/>
              <w:t> </w:t>
            </w:r>
          </w:p>
        </w:tc>
        <w:tc>
          <w:tcPr>
            <w:tcW w:w="241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bookmarkStart w:id="23" w:name="sam-ex31_1.htm"/>
      <w:bookmarkStart w:id="24" w:name="kssamex31_1"/>
      <w:bookmarkEnd w:id="23"/>
      <w:bookmarkEnd w:id="24"/>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31.1</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C. James Koch,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C. James Koch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 xml:space="preserve">C.James Koch </w:t>
      </w:r>
    </w:p>
    <w:p>
      <w:pPr>
        <w:pStyle w:val="TextBody"/>
        <w:bidi w:val="0"/>
        <w:jc w:val="left"/>
        <w:rPr>
          <w:rFonts w:ascii="Times New Roman" w:hAnsi="Times New Roman"/>
          <w:color w:val="000000"/>
          <w:sz w:val="20"/>
        </w:rPr>
      </w:pPr>
      <w:r>
        <w:rPr>
          <w:rFonts w:ascii="Times New Roman" w:hAnsi="Times New Roman"/>
          <w:color w:val="000000"/>
          <w:sz w:val="20"/>
        </w:rPr>
        <w:t>Chairman, President and Chief Executive Officer</w:t>
      </w:r>
    </w:p>
    <w:p>
      <w:pPr>
        <w:pStyle w:val="TextBody"/>
        <w:bidi w:val="0"/>
        <w:jc w:val="left"/>
        <w:rPr>
          <w:rFonts w:ascii="Times New Roman" w:hAnsi="Times New Roman"/>
          <w:color w:val="000000"/>
          <w:sz w:val="20"/>
        </w:rPr>
      </w:pPr>
      <w:r>
        <w:rPr>
          <w:rFonts w:ascii="Times New Roman" w:hAnsi="Times New Roman"/>
          <w:color w:val="000000"/>
          <w:sz w:val="20"/>
        </w:rPr>
        <w:t>[Principal Executive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5" w:name="sam-ex31_2.htm"/>
      <w:bookmarkStart w:id="26" w:name="kssamex31_2"/>
      <w:bookmarkEnd w:id="25"/>
      <w:bookmarkEnd w:id="26"/>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31.2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 Diego Reynoso, certify that: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1. I have reviewed this quarterly report on Form 10-Q of The Boston Beer Company, Inc.;</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(b)</w:t>
      </w:r>
    </w:p>
    <w:p>
      <w:pPr>
        <w:pStyle w:val="TextBody"/>
        <w:bidi w:val="0"/>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jc w:val="left"/>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(c)</w:t>
      </w:r>
    </w:p>
    <w:p>
      <w:pPr>
        <w:pStyle w:val="TextBody"/>
        <w:bidi w:val="0"/>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5. 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(b) Any fraud, whether or not material, that involves management or other employees who have a significant role in the registrant's internal control over financial reporting.</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Diego Reynoso </w:t>
      </w:r>
    </w:p>
    <w:p>
      <w:pPr>
        <w:pStyle w:val="TextBody"/>
        <w:bidi w:val="0"/>
        <w:jc w:val="left"/>
        <w:rPr>
          <w:rFonts w:ascii="Times New Roman" w:hAnsi="Times New Roman"/>
          <w:color w:val="000000"/>
          <w:sz w:val="20"/>
        </w:rPr>
      </w:pPr>
      <w:r>
        <w:rPr>
          <w:rFonts w:ascii="Times New Roman" w:hAnsi="Times New Roman"/>
          <w:color w:val="000000"/>
          <w:sz w:val="20"/>
        </w:rPr>
        <w:t>-----------------------------------------</w:t>
      </w:r>
    </w:p>
    <w:p>
      <w:pPr>
        <w:pStyle w:val="TextBody"/>
        <w:bidi w:val="0"/>
        <w:jc w:val="left"/>
        <w:rPr>
          <w:rFonts w:ascii="Times New Roman" w:hAnsi="Times New Roman"/>
          <w:color w:val="000000"/>
          <w:sz w:val="20"/>
        </w:rPr>
      </w:pPr>
      <w:r>
        <w:rPr>
          <w:rFonts w:ascii="Times New Roman" w:hAnsi="Times New Roman"/>
          <w:color w:val="000000"/>
          <w:sz w:val="20"/>
        </w:rPr>
        <w:t>Diego Reynoso</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rFonts w:ascii="Times New Roman" w:hAnsi="Times New Roman"/>
          <w:color w:val="000000"/>
          <w:sz w:val="20"/>
        </w:rPr>
      </w:pPr>
      <w:r>
        <w:rPr>
          <w:rFonts w:ascii="Times New Roman" w:hAnsi="Times New Roman"/>
          <w:color w:val="000000"/>
          <w:sz w:val="20"/>
        </w:rPr>
        <w:t>[Principal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7" w:name="sam-ex32_1.htm"/>
      <w:bookmarkStart w:id="28" w:name="kssamex32_1"/>
      <w:bookmarkEnd w:id="27"/>
      <w:bookmarkEnd w:id="28"/>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32.1</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The Boston Beer Company, Inc. (the "Company") on Form 10-Q for the period ended March 28, 2026 as filed with the Securities and Exchange Commission (the "Report"), I, C. James Koch, President and Chief Executive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 xml:space="preserve">/s/ C. James Koch </w:t>
      </w:r>
    </w:p>
    <w:p>
      <w:pPr>
        <w:pStyle w:val="TextBody"/>
        <w:bidi w:val="0"/>
        <w:jc w:val="left"/>
        <w:rPr>
          <w:rFonts w:ascii="Times New Roman" w:hAnsi="Times New Roman"/>
          <w:color w:val="000000"/>
          <w:sz w:val="20"/>
        </w:rPr>
      </w:pPr>
      <w:r>
        <w:rPr>
          <w:rFonts w:ascii="Times New Roman" w:hAnsi="Times New Roman"/>
          <w:color w:val="000000"/>
          <w:sz w:val="20"/>
        </w:rPr>
        <w:t xml:space="preserve">C. James Koch </w:t>
      </w:r>
    </w:p>
    <w:p>
      <w:pPr>
        <w:pStyle w:val="TextBody"/>
        <w:bidi w:val="0"/>
        <w:jc w:val="left"/>
        <w:rPr>
          <w:rFonts w:ascii="Times New Roman" w:hAnsi="Times New Roman"/>
          <w:color w:val="000000"/>
          <w:sz w:val="20"/>
        </w:rPr>
      </w:pPr>
      <w:r>
        <w:rPr>
          <w:rFonts w:ascii="Times New Roman" w:hAnsi="Times New Roman"/>
          <w:color w:val="000000"/>
          <w:sz w:val="20"/>
        </w:rPr>
        <w:t>Chairman, President and Chief Executive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9" w:name="sam-ex32_2.htm"/>
      <w:bookmarkStart w:id="30" w:name="kssamex32_2"/>
      <w:bookmarkEnd w:id="29"/>
      <w:bookmarkEnd w:id="30"/>
      <w:r>
        <w:rPr/>
        <w:t> </w:t>
      </w:r>
      <w:r>
        <w:br w:type="page"/>
      </w:r>
    </w:p>
    <w:p>
      <w:pPr>
        <w:pStyle w:val="TextBody"/>
        <w:bidi w:val="0"/>
        <w:jc w:val="right"/>
        <w:rPr>
          <w:rFonts w:ascii="Times New Roman" w:hAnsi="Times New Roman"/>
          <w:color w:val="000000"/>
          <w:sz w:val="20"/>
        </w:rPr>
      </w:pPr>
      <w:r>
        <w:rPr>
          <w:rFonts w:ascii="Times New Roman" w:hAnsi="Times New Roman"/>
          <w:color w:val="000000"/>
          <w:sz w:val="20"/>
        </w:rPr>
        <w:t>Exhibit 32.2</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The Boston Beer Company, Inc.</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Certification Pursuant To</w:t>
      </w:r>
    </w:p>
    <w:p>
      <w:pPr>
        <w:pStyle w:val="TextBody"/>
        <w:bidi w:val="0"/>
        <w:jc w:val="center"/>
        <w:rPr>
          <w:rFonts w:ascii="Times New Roman" w:hAnsi="Times New Roman"/>
          <w:color w:val="000000"/>
          <w:sz w:val="20"/>
        </w:rPr>
      </w:pPr>
      <w:r>
        <w:rPr>
          <w:rFonts w:ascii="Times New Roman" w:hAnsi="Times New Roman"/>
          <w:color w:val="000000"/>
          <w:sz w:val="20"/>
        </w:rPr>
        <w:t>18 U.S.C. Section 1350,</w:t>
      </w:r>
    </w:p>
    <w:p>
      <w:pPr>
        <w:pStyle w:val="TextBody"/>
        <w:bidi w:val="0"/>
        <w:jc w:val="center"/>
        <w:rPr>
          <w:rFonts w:ascii="Times New Roman" w:hAnsi="Times New Roman"/>
          <w:color w:val="000000"/>
          <w:sz w:val="20"/>
        </w:rPr>
      </w:pPr>
      <w:r>
        <w:rPr>
          <w:rFonts w:ascii="Times New Roman" w:hAnsi="Times New Roman"/>
          <w:color w:val="000000"/>
          <w:sz w:val="20"/>
        </w:rPr>
        <w:t>As Adopted Pursuant To</w:t>
      </w:r>
    </w:p>
    <w:p>
      <w:pPr>
        <w:pStyle w:val="TextBody"/>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In connection with the Quarterly Report of The Boston Beer Company, Inc. (the "Company") on Form 10-Q for the period ended March 28, 2026 as filed with the Securities and Exchange Commission (the "Report"), I, Diego Reynoso, Chief Financial Officer of the Company, certify, pursuant to Section 1350 of Chapter 63 of Title 18, United States Code, that this Report fully complies with the requirements of Section 13(a) or 15(d) of the Securities Exchange Act of 1934 and that the information contained in this Report fairly presents, in all material respects, the financial condition and results of operations of the Company.</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April 30, 2026</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/s/ Diego Reynoso</w:t>
      </w:r>
    </w:p>
    <w:p>
      <w:pPr>
        <w:pStyle w:val="TextBody"/>
        <w:bidi w:val="0"/>
        <w:jc w:val="left"/>
        <w:rPr>
          <w:rFonts w:ascii="Times New Roman" w:hAnsi="Times New Roman"/>
          <w:color w:val="000000"/>
          <w:sz w:val="20"/>
        </w:rPr>
      </w:pPr>
      <w:r>
        <w:rPr>
          <w:rFonts w:ascii="Times New Roman" w:hAnsi="Times New Roman"/>
          <w:color w:val="000000"/>
          <w:sz w:val="20"/>
        </w:rPr>
        <w:t>Diego Reynoso</w:t>
      </w:r>
    </w:p>
    <w:p>
      <w:pPr>
        <w:pStyle w:val="TextBody"/>
        <w:bidi w:val="0"/>
        <w:jc w:val="left"/>
        <w:rPr>
          <w:rFonts w:ascii="Times New Roman" w:hAnsi="Times New Roman"/>
          <w:color w:val="000000"/>
          <w:sz w:val="20"/>
        </w:rPr>
      </w:pPr>
      <w:r>
        <w:rPr>
          <w:rFonts w:ascii="Times New Roman" w:hAnsi="Times New Roman"/>
          <w:color w:val="000000"/>
          <w:sz w:val="20"/>
        </w:rPr>
        <w:t>Chief Financial Officer</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Boston Beer Company, Inc. and will be retained by The Boston Beer Company, Inc. and furnished to the Securities and Exchange Commission or its staff upon request.</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949870/0000927016-98-002984.txt" TargetMode="External"/><Relationship Id="rId3" Type="http://schemas.openxmlformats.org/officeDocument/2006/relationships/hyperlink" Target="https://www.sec.gov/Archives/edgar/data/949870/0000927016-98-002984.txt" TargetMode="External"/><Relationship Id="rId4" Type="http://schemas.openxmlformats.org/officeDocument/2006/relationships/hyperlink" Target="https://www.sec.gov/Archives/edgar/data/949870/000095017023034065/sam-ex10_1.htm" TargetMode="External"/><Relationship Id="rId5" Type="http://schemas.openxmlformats.org/officeDocument/2006/relationships/hyperlink" Target="https://www.sec.gov/ix?doc=/Archives/edgar/data/0000949870/000095017024021172/sam-20240223.htm" TargetMode="External"/><Relationship Id="rId6" Type="http://schemas.openxmlformats.org/officeDocument/2006/relationships/hyperlink" Target="https://www.sec.gov/Archives/edgar/data/949870/000095017025026756/sam-ex10_18.htm" TargetMode="External"/><Relationship Id="rId7" Type="http://schemas.openxmlformats.org/officeDocument/2006/relationships/hyperlink" Target="https://www.sec.gov/Archives/edgar/data/949870/000119312526067467/sam-ex10_17.htm" TargetMode="External"/><Relationship Id="rId8" Type="http://schemas.openxmlformats.org/officeDocument/2006/relationships/hyperlink" Target="https://www.sec.gov/Archives/edgar/data/949870/000119312526067467/sam-ex10_17.htm" TargetMode="External"/><Relationship Id="rId9" Type="http://schemas.openxmlformats.org/officeDocument/2006/relationships/hyperlink" Target="https://www.sec.gov/Archives/edgar/data/949870/000095017025101426/sam-ex10_1.htm" TargetMode="External"/><Relationship Id="rId10" Type="http://schemas.openxmlformats.org/officeDocument/2006/relationships/hyperlink" Target="https://www.sec.gov/Archives/edgar/data/949870/000119312525245415/sam-ex10_1.htm"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13410</Words>
  <Characters>72812</Characters>
  <CharactersWithSpaces>87253</CharactersWithSpaces>
  <Paragraphs>4371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